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3324E" w14:textId="741E104B" w:rsidR="006F1223" w:rsidRPr="0074407F" w:rsidRDefault="006F1223" w:rsidP="00115213">
      <w:pPr>
        <w:ind w:left="284" w:right="51" w:firstLine="0"/>
      </w:pPr>
      <w:r>
        <w:t>ИНСТРУКЦИЯ ПРОВЕДЕНИ</w:t>
      </w:r>
      <w:r w:rsidR="0074407F">
        <w:t>Я ДЕПОЗИТНЫХ СДЕЛОК</w:t>
      </w:r>
      <w:r>
        <w:t xml:space="preserve"> </w:t>
      </w:r>
    </w:p>
    <w:p w14:paraId="692F770E" w14:textId="5CF73843" w:rsidR="00115213" w:rsidRPr="00115213" w:rsidRDefault="00F11A5C" w:rsidP="00115213">
      <w:pPr>
        <w:pStyle w:val="a7"/>
        <w:numPr>
          <w:ilvl w:val="0"/>
          <w:numId w:val="8"/>
        </w:numPr>
        <w:ind w:left="284" w:right="51" w:firstLine="0"/>
        <w:rPr>
          <w:b/>
          <w:bCs/>
        </w:rPr>
      </w:pPr>
      <w:r w:rsidRPr="00115213">
        <w:rPr>
          <w:b/>
          <w:bCs/>
        </w:rPr>
        <w:t xml:space="preserve">Участие Банков в Депозитном аукционе. </w:t>
      </w:r>
    </w:p>
    <w:p w14:paraId="1E56BBD6" w14:textId="757D7647" w:rsidR="00F11A5C" w:rsidRDefault="00F11A5C" w:rsidP="00694611">
      <w:pPr>
        <w:pStyle w:val="a7"/>
        <w:ind w:left="284" w:right="51" w:firstLine="0"/>
      </w:pPr>
      <w:r>
        <w:t xml:space="preserve">Банки, заключившие с Агентством Генеральное депозитное соглашение, в день проведения депозитного аукциона направляют на электронную площадку Биржи свои предложения по процентной ставке на сумму депозита в соответствии с правилами системы торгов Биржи (путём подачи заявки на участие в депозитном аукционе). </w:t>
      </w:r>
    </w:p>
    <w:p w14:paraId="007F05D8" w14:textId="406CC7C1" w:rsidR="00F11A5C" w:rsidRDefault="00F11A5C" w:rsidP="00694611">
      <w:pPr>
        <w:ind w:left="284" w:right="51" w:firstLine="0"/>
      </w:pPr>
      <w:r>
        <w:t xml:space="preserve">Критерием отбора Банка в рамках проведения депозитного аукциона для размещения средств Агентства в депозит (вклад) является предлагаемая процентная ставка. </w:t>
      </w:r>
    </w:p>
    <w:p w14:paraId="11D56BD4" w14:textId="26FECCB0" w:rsidR="00F11A5C" w:rsidRDefault="00F11A5C" w:rsidP="00115213">
      <w:pPr>
        <w:ind w:left="284" w:right="51" w:firstLine="0"/>
      </w:pPr>
      <w:r>
        <w:rPr>
          <w:b/>
          <w:sz w:val="24"/>
        </w:rPr>
        <w:t xml:space="preserve">2. </w:t>
      </w:r>
      <w:r>
        <w:t xml:space="preserve">Процентная ставка, указываемая Банком в заявке на участие в депозитном аукционе, не может быть ниже минимальной процентной ставки размещения, установленной Агентством для проводимого депозитного аукциона. </w:t>
      </w:r>
    </w:p>
    <w:p w14:paraId="7A32B82B" w14:textId="39A48F71" w:rsidR="00F11A5C" w:rsidRDefault="00F11A5C" w:rsidP="00115213">
      <w:pPr>
        <w:ind w:left="284" w:right="51" w:firstLine="0"/>
      </w:pPr>
      <w:r>
        <w:rPr>
          <w:b/>
          <w:sz w:val="24"/>
        </w:rPr>
        <w:t xml:space="preserve">3. </w:t>
      </w:r>
      <w:r>
        <w:t>Лимит на размещение средств Агентства, в пределах которого Банк может подать заявку на участие в депозитном аукционе (лимит по депозитному аукциону на Банк) устанавливается Агентством для каждого Банка, с которым заключено Генеральное депозитное соглашение, перед проведением каждого депозитного аукциона. Лимит по депозитному аукциону на Банк устанавливается исходя из лимита размещения средств Агентства в одном Банке</w:t>
      </w:r>
      <w:r w:rsidR="00B30E64">
        <w:t xml:space="preserve">, </w:t>
      </w:r>
      <w:r>
        <w:t>оценки Банка на соответствие требованиям, указанным в пункте 2.1. Положения</w:t>
      </w:r>
      <w:r w:rsidR="00B30E64">
        <w:t xml:space="preserve"> об отборе кредитных организаций</w:t>
      </w:r>
      <w:r>
        <w:t xml:space="preserve">. Агентство также вправе установить указанный лимит на Банк равным нулю на определенное количество ближайших по времени депозитных аукциона, в случае факта нарушения Банком срока возврата депозита и (или) процентов по депозиту и (или) неустойки (пени) по любым договорам банковского вклада (депозита), заключенным между Агентством и Банком до проведения депозитного аукциона. </w:t>
      </w:r>
    </w:p>
    <w:p w14:paraId="06D0548B" w14:textId="0EA76016" w:rsidR="00F11A5C" w:rsidRDefault="00F11A5C" w:rsidP="00115213">
      <w:pPr>
        <w:ind w:left="284" w:right="51" w:firstLine="0"/>
      </w:pPr>
      <w:r>
        <w:rPr>
          <w:b/>
          <w:sz w:val="24"/>
        </w:rPr>
        <w:t xml:space="preserve">4. </w:t>
      </w:r>
      <w:r>
        <w:t xml:space="preserve">Временно свободные денежные средства гарантийного капитала Агентства, размещенные в одном Банке в совокупности (с учетом ранее размещенных средств гарантийного капитала и суммы депозита, по которому проводится депозитный аукцион) не могут превышать:  </w:t>
      </w:r>
    </w:p>
    <w:p w14:paraId="014802FC" w14:textId="77777777" w:rsidR="00F11A5C" w:rsidRDefault="00F11A5C" w:rsidP="00115213">
      <w:pPr>
        <w:numPr>
          <w:ilvl w:val="0"/>
          <w:numId w:val="1"/>
        </w:numPr>
        <w:ind w:left="284" w:right="51" w:firstLine="0"/>
      </w:pPr>
      <w:r>
        <w:t xml:space="preserve">30% от общего размера денежных средств Агентства по направлению деятельности по предоставлению поручительств, если его гарантийный капитал превышает 700 млн. рублей; </w:t>
      </w:r>
    </w:p>
    <w:p w14:paraId="42A730A6" w14:textId="77777777" w:rsidR="00F11A5C" w:rsidRDefault="00F11A5C" w:rsidP="00115213">
      <w:pPr>
        <w:numPr>
          <w:ilvl w:val="0"/>
          <w:numId w:val="1"/>
        </w:numPr>
        <w:ind w:left="284" w:right="51" w:firstLine="0"/>
      </w:pPr>
      <w:r>
        <w:t xml:space="preserve">40% от общего размера денежных средств Агентства по направлению деятельности по предоставлению поручительств, если его гарантийный капитал более 300 млн. рублей и менее 700 млн. рублей; </w:t>
      </w:r>
    </w:p>
    <w:p w14:paraId="23022580" w14:textId="77777777" w:rsidR="00F11A5C" w:rsidRDefault="00F11A5C" w:rsidP="00115213">
      <w:pPr>
        <w:numPr>
          <w:ilvl w:val="0"/>
          <w:numId w:val="1"/>
        </w:numPr>
        <w:ind w:left="284" w:right="51" w:firstLine="0"/>
      </w:pPr>
      <w:r>
        <w:t xml:space="preserve">60% от общего размера денежных средств Агентства по направлению деятельности по предоставлению поручительств, если его гарантийный капитал не превышает 300 млн. рублей,  </w:t>
      </w:r>
    </w:p>
    <w:p w14:paraId="24657299" w14:textId="77777777" w:rsidR="00F11A5C" w:rsidRDefault="00F11A5C" w:rsidP="00115213">
      <w:pPr>
        <w:ind w:left="284" w:right="51" w:firstLine="0"/>
      </w:pPr>
      <w:r>
        <w:t xml:space="preserve">на 1 (первое) число финансового года, в котором происходит размещение денежных средств. </w:t>
      </w:r>
    </w:p>
    <w:p w14:paraId="4A3DD306" w14:textId="07D6077B" w:rsidR="00F11A5C" w:rsidRDefault="00F11A5C" w:rsidP="00115213">
      <w:pPr>
        <w:ind w:left="284" w:right="51" w:firstLine="0"/>
      </w:pPr>
      <w:r>
        <w:t xml:space="preserve">Пересчет максимального размера денежных средств, размещенных (размещаемых) на расчетных счетах и депозитах в одной кредитной организации, осуществляется единоличным исполнительным органом Агентства при изменении размера гарантийного капитала. </w:t>
      </w:r>
    </w:p>
    <w:p w14:paraId="54D2A884" w14:textId="35E6989E" w:rsidR="00F11A5C" w:rsidRDefault="00F11A5C" w:rsidP="00115213">
      <w:pPr>
        <w:pStyle w:val="a7"/>
        <w:ind w:left="284" w:right="51" w:firstLine="0"/>
      </w:pPr>
      <w:r w:rsidRPr="00F11A5C">
        <w:rPr>
          <w:b/>
          <w:bCs/>
        </w:rPr>
        <w:t>5.</w:t>
      </w:r>
      <w:r>
        <w:t xml:space="preserve"> Размер денежных средств, указанный Банком в заявке на участие в депозитном аукционе, не может быть меньше минимального размера, установленного Агентством для проводимого депозитного аукциона. </w:t>
      </w:r>
    </w:p>
    <w:p w14:paraId="453A03D7" w14:textId="027A1358" w:rsidR="00F11A5C" w:rsidRDefault="00F11A5C" w:rsidP="00115213">
      <w:pPr>
        <w:pStyle w:val="a7"/>
        <w:numPr>
          <w:ilvl w:val="0"/>
          <w:numId w:val="7"/>
        </w:numPr>
        <w:ind w:left="284" w:right="51" w:firstLine="0"/>
      </w:pPr>
      <w:r>
        <w:t xml:space="preserve">Совокупный размер денежных средств, по которому Банком предлагается процентная ставка, указанный одним Банком в нескольких заявках на участие в депозитном аукционе, не должен превышать значения лимита на депозитный аукцион на данный Банк, </w:t>
      </w:r>
      <w:r w:rsidR="008477BD">
        <w:t>определенный Агентством</w:t>
      </w:r>
      <w:r>
        <w:t xml:space="preserve"> до проведения депозитного аукциона. </w:t>
      </w:r>
    </w:p>
    <w:p w14:paraId="31753BE3" w14:textId="032CDA99" w:rsidR="00006B71" w:rsidRDefault="00F11A5C" w:rsidP="00115213">
      <w:pPr>
        <w:pStyle w:val="a7"/>
        <w:numPr>
          <w:ilvl w:val="0"/>
          <w:numId w:val="7"/>
        </w:numPr>
        <w:ind w:left="284" w:right="51" w:firstLine="0"/>
      </w:pPr>
      <w:r>
        <w:t xml:space="preserve">Объявление о проведении депозитного аукциона и о параметрах отбора заявок на участие производится через Биржу. </w:t>
      </w:r>
    </w:p>
    <w:sectPr w:rsidR="00006B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EE2A8" w14:textId="77777777" w:rsidR="00B40359" w:rsidRDefault="00B40359" w:rsidP="00F11A5C">
      <w:pPr>
        <w:spacing w:after="0" w:line="240" w:lineRule="auto"/>
      </w:pPr>
      <w:r>
        <w:separator/>
      </w:r>
    </w:p>
  </w:endnote>
  <w:endnote w:type="continuationSeparator" w:id="0">
    <w:p w14:paraId="38F317B7" w14:textId="77777777" w:rsidR="00B40359" w:rsidRDefault="00B40359" w:rsidP="00F11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9AF17" w14:textId="77777777" w:rsidR="00B40359" w:rsidRDefault="00B40359" w:rsidP="00F11A5C">
      <w:pPr>
        <w:spacing w:after="0" w:line="240" w:lineRule="auto"/>
      </w:pPr>
      <w:r>
        <w:separator/>
      </w:r>
    </w:p>
  </w:footnote>
  <w:footnote w:type="continuationSeparator" w:id="0">
    <w:p w14:paraId="17D71498" w14:textId="77777777" w:rsidR="00B40359" w:rsidRDefault="00B40359" w:rsidP="00F11A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B5654"/>
    <w:multiLevelType w:val="hybridMultilevel"/>
    <w:tmpl w:val="EDBE1E4E"/>
    <w:lvl w:ilvl="0" w:tplc="19A63898">
      <w:start w:val="6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1246BCE"/>
    <w:multiLevelType w:val="hybridMultilevel"/>
    <w:tmpl w:val="32FE80DA"/>
    <w:lvl w:ilvl="0" w:tplc="9384A6F2">
      <w:start w:val="1"/>
      <w:numFmt w:val="bullet"/>
      <w:lvlText w:val="-"/>
      <w:lvlJc w:val="left"/>
      <w:pPr>
        <w:ind w:left="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82EB08">
      <w:start w:val="1"/>
      <w:numFmt w:val="bullet"/>
      <w:lvlText w:val="o"/>
      <w:lvlJc w:val="left"/>
      <w:pPr>
        <w:ind w:left="16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666C70">
      <w:start w:val="1"/>
      <w:numFmt w:val="bullet"/>
      <w:lvlText w:val="▪"/>
      <w:lvlJc w:val="left"/>
      <w:pPr>
        <w:ind w:left="23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540FA0">
      <w:start w:val="1"/>
      <w:numFmt w:val="bullet"/>
      <w:lvlText w:val="•"/>
      <w:lvlJc w:val="left"/>
      <w:pPr>
        <w:ind w:left="30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3A56F6">
      <w:start w:val="1"/>
      <w:numFmt w:val="bullet"/>
      <w:lvlText w:val="o"/>
      <w:lvlJc w:val="left"/>
      <w:pPr>
        <w:ind w:left="3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C07318">
      <w:start w:val="1"/>
      <w:numFmt w:val="bullet"/>
      <w:lvlText w:val="▪"/>
      <w:lvlJc w:val="left"/>
      <w:pPr>
        <w:ind w:left="44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4300C7C">
      <w:start w:val="1"/>
      <w:numFmt w:val="bullet"/>
      <w:lvlText w:val="•"/>
      <w:lvlJc w:val="left"/>
      <w:pPr>
        <w:ind w:left="52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901B00">
      <w:start w:val="1"/>
      <w:numFmt w:val="bullet"/>
      <w:lvlText w:val="o"/>
      <w:lvlJc w:val="left"/>
      <w:pPr>
        <w:ind w:left="59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A4DB82">
      <w:start w:val="1"/>
      <w:numFmt w:val="bullet"/>
      <w:lvlText w:val="▪"/>
      <w:lvlJc w:val="left"/>
      <w:pPr>
        <w:ind w:left="6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B709B9"/>
    <w:multiLevelType w:val="multilevel"/>
    <w:tmpl w:val="782A66AA"/>
    <w:lvl w:ilvl="0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8"/>
      <w:numFmt w:val="decimal"/>
      <w:lvlRestart w:val="0"/>
      <w:lvlText w:val="%1.%2."/>
      <w:lvlJc w:val="left"/>
      <w:pPr>
        <w:ind w:left="127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7F2498"/>
    <w:multiLevelType w:val="hybridMultilevel"/>
    <w:tmpl w:val="187CD27A"/>
    <w:lvl w:ilvl="0" w:tplc="08BC7BC0">
      <w:start w:val="5"/>
      <w:numFmt w:val="decimal"/>
      <w:lvlText w:val="%1."/>
      <w:lvlJc w:val="left"/>
      <w:pPr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4" w15:restartNumberingAfterBreak="0">
    <w:nsid w:val="608B7A3C"/>
    <w:multiLevelType w:val="hybridMultilevel"/>
    <w:tmpl w:val="A3DC9D38"/>
    <w:lvl w:ilvl="0" w:tplc="6E8C51D4">
      <w:start w:val="6"/>
      <w:numFmt w:val="decimal"/>
      <w:lvlText w:val="%1."/>
      <w:lvlJc w:val="left"/>
      <w:pPr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5" w15:restartNumberingAfterBreak="0">
    <w:nsid w:val="65F52724"/>
    <w:multiLevelType w:val="hybridMultilevel"/>
    <w:tmpl w:val="CBD8967C"/>
    <w:lvl w:ilvl="0" w:tplc="B5E23B70">
      <w:start w:val="1"/>
      <w:numFmt w:val="decimal"/>
      <w:lvlText w:val="%1."/>
      <w:lvlJc w:val="left"/>
      <w:pPr>
        <w:ind w:left="1017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ind w:left="6777" w:hanging="180"/>
      </w:pPr>
    </w:lvl>
  </w:abstractNum>
  <w:abstractNum w:abstractNumId="6" w15:restartNumberingAfterBreak="0">
    <w:nsid w:val="6B5202FB"/>
    <w:multiLevelType w:val="hybridMultilevel"/>
    <w:tmpl w:val="6BC254E6"/>
    <w:lvl w:ilvl="0" w:tplc="68D4FC7C">
      <w:start w:val="6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7B52FFD"/>
    <w:multiLevelType w:val="hybridMultilevel"/>
    <w:tmpl w:val="9BA0DA72"/>
    <w:lvl w:ilvl="0" w:tplc="5002B606">
      <w:start w:val="6"/>
      <w:numFmt w:val="decimal"/>
      <w:lvlText w:val="%1."/>
      <w:lvlJc w:val="left"/>
      <w:pPr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ind w:left="6777" w:hanging="180"/>
      </w:pPr>
    </w:lvl>
  </w:abstractNum>
  <w:num w:numId="1" w16cid:durableId="1727989077">
    <w:abstractNumId w:val="1"/>
  </w:num>
  <w:num w:numId="2" w16cid:durableId="4793626">
    <w:abstractNumId w:val="2"/>
  </w:num>
  <w:num w:numId="3" w16cid:durableId="725838314">
    <w:abstractNumId w:val="3"/>
  </w:num>
  <w:num w:numId="4" w16cid:durableId="154033412">
    <w:abstractNumId w:val="4"/>
  </w:num>
  <w:num w:numId="5" w16cid:durableId="1948348836">
    <w:abstractNumId w:val="6"/>
  </w:num>
  <w:num w:numId="6" w16cid:durableId="1710832974">
    <w:abstractNumId w:val="7"/>
  </w:num>
  <w:num w:numId="7" w16cid:durableId="612785593">
    <w:abstractNumId w:val="0"/>
  </w:num>
  <w:num w:numId="8" w16cid:durableId="1298995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787"/>
    <w:rsid w:val="00006B71"/>
    <w:rsid w:val="000A7820"/>
    <w:rsid w:val="00115213"/>
    <w:rsid w:val="00164723"/>
    <w:rsid w:val="002708B0"/>
    <w:rsid w:val="002E5400"/>
    <w:rsid w:val="004D39A5"/>
    <w:rsid w:val="00694611"/>
    <w:rsid w:val="006A1C17"/>
    <w:rsid w:val="006F1223"/>
    <w:rsid w:val="0074407F"/>
    <w:rsid w:val="007771E4"/>
    <w:rsid w:val="008460ED"/>
    <w:rsid w:val="008477BD"/>
    <w:rsid w:val="00865787"/>
    <w:rsid w:val="0093792B"/>
    <w:rsid w:val="00B30E64"/>
    <w:rsid w:val="00B40359"/>
    <w:rsid w:val="00D75C55"/>
    <w:rsid w:val="00D91682"/>
    <w:rsid w:val="00F11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78F4F"/>
  <w15:chartTrackingRefBased/>
  <w15:docId w15:val="{3976CFDF-B333-4D8A-A94C-6A699F717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A5C"/>
    <w:pPr>
      <w:spacing w:after="10" w:line="266" w:lineRule="auto"/>
      <w:ind w:left="142" w:right="57" w:firstLine="530"/>
      <w:jc w:val="both"/>
    </w:pPr>
    <w:rPr>
      <w:rFonts w:ascii="Arial" w:eastAsia="Arial" w:hAnsi="Arial" w:cs="Arial"/>
      <w:color w:val="000000"/>
      <w:sz w:val="22"/>
    </w:rPr>
  </w:style>
  <w:style w:type="paragraph" w:styleId="1">
    <w:name w:val="heading 1"/>
    <w:basedOn w:val="a"/>
    <w:next w:val="a"/>
    <w:link w:val="10"/>
    <w:uiPriority w:val="9"/>
    <w:qFormat/>
    <w:rsid w:val="008657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57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57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57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57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57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57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57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57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57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657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657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6578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6578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6578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6578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6578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6578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657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657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5787"/>
    <w:pPr>
      <w:numPr>
        <w:ilvl w:val="1"/>
      </w:numPr>
      <w:ind w:left="142" w:firstLine="53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657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657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6578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6578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6578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657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6578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65787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11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11A5C"/>
  </w:style>
  <w:style w:type="paragraph" w:styleId="ae">
    <w:name w:val="footer"/>
    <w:basedOn w:val="a"/>
    <w:link w:val="af"/>
    <w:uiPriority w:val="99"/>
    <w:unhideWhenUsed/>
    <w:rsid w:val="00F11A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11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Рыжикова</dc:creator>
  <cp:keywords/>
  <dc:description/>
  <cp:lastModifiedBy>Смирнова Юлия Л.</cp:lastModifiedBy>
  <cp:revision>16</cp:revision>
  <dcterms:created xsi:type="dcterms:W3CDTF">2025-03-11T09:57:00Z</dcterms:created>
  <dcterms:modified xsi:type="dcterms:W3CDTF">2025-07-11T12:27:00Z</dcterms:modified>
</cp:coreProperties>
</file>