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74FC" w14:textId="77777777" w:rsidR="00011A19" w:rsidRPr="00933E2F" w:rsidRDefault="00011A19" w:rsidP="00011A19">
      <w:pPr>
        <w:ind w:right="144"/>
        <w:jc w:val="center"/>
        <w:rPr>
          <w:rFonts w:ascii="Arial" w:hAnsi="Arial" w:cs="Arial"/>
          <w:b/>
          <w:sz w:val="26"/>
          <w:szCs w:val="26"/>
        </w:rPr>
      </w:pPr>
      <w:r w:rsidRPr="00933E2F">
        <w:rPr>
          <w:rFonts w:ascii="Arial" w:hAnsi="Arial" w:cs="Arial"/>
          <w:b/>
          <w:sz w:val="26"/>
          <w:szCs w:val="26"/>
        </w:rPr>
        <w:t xml:space="preserve">СОГЛАШЕНИЕ </w:t>
      </w:r>
    </w:p>
    <w:p w14:paraId="7B13CFEB" w14:textId="77777777" w:rsidR="00011A19" w:rsidRPr="00933E2F" w:rsidRDefault="00011A19" w:rsidP="00011A19">
      <w:pPr>
        <w:jc w:val="center"/>
        <w:rPr>
          <w:rFonts w:ascii="Arial" w:hAnsi="Arial" w:cs="Arial"/>
          <w:b/>
          <w:sz w:val="26"/>
          <w:szCs w:val="26"/>
        </w:rPr>
      </w:pPr>
      <w:r w:rsidRPr="00933E2F">
        <w:rPr>
          <w:rFonts w:ascii="Arial" w:hAnsi="Arial" w:cs="Arial"/>
          <w:b/>
          <w:sz w:val="26"/>
          <w:szCs w:val="26"/>
        </w:rPr>
        <w:t xml:space="preserve">о порядке сотрудничества по программе предоставления поручительств </w:t>
      </w:r>
    </w:p>
    <w:p w14:paraId="421C6B8C" w14:textId="77777777" w:rsidR="00011A19" w:rsidRPr="00933E2F" w:rsidRDefault="00011A19" w:rsidP="00011A19">
      <w:pPr>
        <w:jc w:val="center"/>
        <w:rPr>
          <w:rFonts w:ascii="Arial" w:hAnsi="Arial" w:cs="Arial"/>
          <w:b/>
          <w:sz w:val="26"/>
          <w:szCs w:val="26"/>
        </w:rPr>
      </w:pPr>
      <w:r w:rsidRPr="00933E2F">
        <w:rPr>
          <w:rFonts w:ascii="Arial" w:hAnsi="Arial" w:cs="Arial"/>
          <w:b/>
          <w:sz w:val="26"/>
          <w:szCs w:val="26"/>
        </w:rPr>
        <w:t>по договорам займа</w:t>
      </w:r>
    </w:p>
    <w:p w14:paraId="5756B964" w14:textId="77777777" w:rsidR="00011A19" w:rsidRPr="00933E2F" w:rsidRDefault="00011A19" w:rsidP="00011A19">
      <w:pPr>
        <w:jc w:val="center"/>
        <w:rPr>
          <w:rFonts w:ascii="Arial" w:hAnsi="Arial" w:cs="Arial"/>
          <w:sz w:val="26"/>
          <w:szCs w:val="26"/>
        </w:rPr>
      </w:pPr>
    </w:p>
    <w:tbl>
      <w:tblPr>
        <w:tblW w:w="0" w:type="auto"/>
        <w:tblLook w:val="04A0" w:firstRow="1" w:lastRow="0" w:firstColumn="1" w:lastColumn="0" w:noHBand="0" w:noVBand="1"/>
      </w:tblPr>
      <w:tblGrid>
        <w:gridCol w:w="4651"/>
        <w:gridCol w:w="4704"/>
      </w:tblGrid>
      <w:tr w:rsidR="00011A19" w:rsidRPr="00933E2F" w14:paraId="42736582" w14:textId="77777777" w:rsidTr="00DA255B">
        <w:tc>
          <w:tcPr>
            <w:tcW w:w="4785" w:type="dxa"/>
            <w:shd w:val="clear" w:color="auto" w:fill="auto"/>
            <w:hideMark/>
          </w:tcPr>
          <w:p w14:paraId="351321DF" w14:textId="77777777" w:rsidR="00011A19" w:rsidRPr="00933E2F" w:rsidRDefault="00011A19" w:rsidP="00DA255B">
            <w:pPr>
              <w:widowControl w:val="0"/>
              <w:spacing w:line="380" w:lineRule="atLeast"/>
              <w:rPr>
                <w:rFonts w:ascii="Arial" w:hAnsi="Arial" w:cs="Arial"/>
                <w:color w:val="000000"/>
                <w:sz w:val="26"/>
                <w:szCs w:val="26"/>
              </w:rPr>
            </w:pPr>
            <w:r w:rsidRPr="00933E2F">
              <w:rPr>
                <w:rFonts w:ascii="Arial" w:hAnsi="Arial" w:cs="Arial"/>
                <w:sz w:val="26"/>
                <w:szCs w:val="26"/>
              </w:rPr>
              <w:t xml:space="preserve">город Нижний Новгород </w:t>
            </w:r>
          </w:p>
        </w:tc>
        <w:tc>
          <w:tcPr>
            <w:tcW w:w="4786" w:type="dxa"/>
            <w:shd w:val="clear" w:color="auto" w:fill="auto"/>
            <w:hideMark/>
          </w:tcPr>
          <w:p w14:paraId="3A073B1C" w14:textId="77777777" w:rsidR="00011A19" w:rsidRPr="00933E2F" w:rsidRDefault="00011A19" w:rsidP="00DA255B">
            <w:pPr>
              <w:widowControl w:val="0"/>
              <w:spacing w:line="380" w:lineRule="atLeast"/>
              <w:jc w:val="right"/>
              <w:rPr>
                <w:rFonts w:ascii="Arial" w:hAnsi="Arial" w:cs="Arial"/>
                <w:color w:val="000000"/>
                <w:sz w:val="26"/>
                <w:szCs w:val="26"/>
              </w:rPr>
            </w:pPr>
            <w:r w:rsidRPr="00933E2F">
              <w:rPr>
                <w:rFonts w:ascii="Arial" w:hAnsi="Arial" w:cs="Arial"/>
                <w:sz w:val="26"/>
                <w:szCs w:val="26"/>
              </w:rPr>
              <w:t xml:space="preserve"> «_____» _________________ 202_ г.</w:t>
            </w:r>
          </w:p>
        </w:tc>
      </w:tr>
    </w:tbl>
    <w:p w14:paraId="6009F8E0" w14:textId="77777777" w:rsidR="00011A19" w:rsidRPr="00933E2F" w:rsidRDefault="00011A19" w:rsidP="00011A19">
      <w:pPr>
        <w:spacing w:line="380" w:lineRule="atLeast"/>
        <w:jc w:val="both"/>
        <w:rPr>
          <w:rFonts w:ascii="Arial" w:hAnsi="Arial" w:cs="Arial"/>
          <w:color w:val="000000"/>
          <w:sz w:val="26"/>
          <w:szCs w:val="26"/>
        </w:rPr>
      </w:pPr>
    </w:p>
    <w:p w14:paraId="799DA29B" w14:textId="77777777" w:rsidR="00011A19" w:rsidRPr="00933E2F" w:rsidRDefault="00011A19" w:rsidP="00011A19">
      <w:pPr>
        <w:jc w:val="both"/>
        <w:rPr>
          <w:rFonts w:ascii="Arial" w:hAnsi="Arial" w:cs="Arial"/>
          <w:sz w:val="26"/>
          <w:szCs w:val="26"/>
        </w:rPr>
      </w:pPr>
      <w:r w:rsidRPr="00933E2F">
        <w:rPr>
          <w:rFonts w:ascii="Arial" w:hAnsi="Arial" w:cs="Arial"/>
          <w:b/>
          <w:sz w:val="26"/>
          <w:szCs w:val="26"/>
        </w:rPr>
        <w:t>Автономная некоммерческая организация «Агентство по развитию системы гарантий Нижегородской области»</w:t>
      </w:r>
      <w:r w:rsidRPr="00933E2F">
        <w:rPr>
          <w:rFonts w:ascii="Arial" w:hAnsi="Arial" w:cs="Arial"/>
          <w:sz w:val="26"/>
          <w:szCs w:val="26"/>
        </w:rPr>
        <w:t xml:space="preserve">, </w:t>
      </w:r>
      <w:r w:rsidRPr="00933E2F">
        <w:rPr>
          <w:rFonts w:ascii="Arial" w:hAnsi="Arial" w:cs="Arial"/>
          <w:bCs/>
        </w:rPr>
        <w:t>в дальнейшем именуемая «РГО», в лице ___________________, действующего на основании _______________,</w:t>
      </w:r>
      <w:r w:rsidRPr="00933E2F">
        <w:rPr>
          <w:rFonts w:ascii="Arial" w:hAnsi="Arial" w:cs="Arial"/>
          <w:b/>
          <w:bCs/>
        </w:rPr>
        <w:t xml:space="preserve"> </w:t>
      </w:r>
      <w:r w:rsidRPr="00933E2F">
        <w:rPr>
          <w:rFonts w:ascii="Arial" w:hAnsi="Arial" w:cs="Arial"/>
          <w:sz w:val="26"/>
          <w:szCs w:val="26"/>
        </w:rPr>
        <w:t xml:space="preserve"> с одной стороны, и _________________________, в лице __________________, действующего на основании __________________________, в дальнейшем именуемое «Микрофинансовая организация», с другой стороны, вместе и по отдельности именуемые «Стороны», заключили настоящее Соглашение о порядке сотрудничества по программе предоставления поручительств по кредитным договорам (далее – Соглашение) о нижеследующем.</w:t>
      </w:r>
    </w:p>
    <w:p w14:paraId="2F741077" w14:textId="77777777" w:rsidR="00011A19" w:rsidRPr="00933E2F" w:rsidRDefault="00011A19" w:rsidP="00011A19">
      <w:pPr>
        <w:keepNext/>
        <w:keepLines/>
        <w:jc w:val="both"/>
        <w:outlineLvl w:val="0"/>
        <w:rPr>
          <w:rFonts w:ascii="Arial" w:hAnsi="Arial" w:cs="Arial"/>
          <w:bCs/>
          <w:sz w:val="26"/>
          <w:szCs w:val="26"/>
        </w:rPr>
      </w:pPr>
    </w:p>
    <w:p w14:paraId="12A87E53" w14:textId="77777777" w:rsidR="00011A19" w:rsidRPr="00933E2F" w:rsidRDefault="00011A19" w:rsidP="00011A19">
      <w:pPr>
        <w:keepNext/>
        <w:keepLines/>
        <w:jc w:val="center"/>
        <w:outlineLvl w:val="0"/>
        <w:rPr>
          <w:rFonts w:ascii="Arial" w:hAnsi="Arial" w:cs="Arial"/>
          <w:bCs/>
          <w:sz w:val="26"/>
          <w:szCs w:val="26"/>
        </w:rPr>
      </w:pPr>
      <w:r w:rsidRPr="00933E2F">
        <w:rPr>
          <w:rFonts w:ascii="Arial" w:hAnsi="Arial" w:cs="Arial"/>
          <w:bCs/>
          <w:sz w:val="26"/>
          <w:szCs w:val="26"/>
        </w:rPr>
        <w:t>1. Цели Соглашения</w:t>
      </w:r>
    </w:p>
    <w:p w14:paraId="6502E881" w14:textId="77777777" w:rsidR="00011A19" w:rsidRPr="00933E2F" w:rsidRDefault="00011A19" w:rsidP="00011A19">
      <w:pPr>
        <w:rPr>
          <w:rFonts w:ascii="Arial" w:hAnsi="Arial" w:cs="Arial"/>
          <w:sz w:val="26"/>
          <w:szCs w:val="26"/>
        </w:rPr>
      </w:pPr>
    </w:p>
    <w:p w14:paraId="3B9E791A" w14:textId="77777777" w:rsidR="00011A19" w:rsidRPr="00933E2F" w:rsidRDefault="00011A19" w:rsidP="00011A19">
      <w:pPr>
        <w:jc w:val="both"/>
        <w:rPr>
          <w:rFonts w:ascii="Arial" w:hAnsi="Arial" w:cs="Arial"/>
          <w:color w:val="000000"/>
          <w:sz w:val="26"/>
          <w:szCs w:val="26"/>
        </w:rPr>
      </w:pPr>
      <w:r w:rsidRPr="00933E2F">
        <w:rPr>
          <w:rFonts w:ascii="Arial" w:hAnsi="Arial" w:cs="Arial"/>
          <w:sz w:val="26"/>
          <w:szCs w:val="26"/>
        </w:rPr>
        <w:tab/>
        <w:t>1.1. Целью настоящего Соглашения является расширение возможностей финансирования субъектов малого и среднего предпринимательства Нижегородской области (далее – субъекты МСП) и организаций инфраструктуры поддержки субъектов МСП, физических лиц, применяющих специальный налоговый режим «Налог на профессиональный доход» создание условий в интересах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для обеспечения им равного доступа к заемным средствам.</w:t>
      </w:r>
    </w:p>
    <w:p w14:paraId="4998A4EC"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1.2. Для реализации цели, предусмотренной подпунктом 1.1 настоящего Соглашения, РГО разработана программа содействия доступа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(далее – программа РГО) к заемным средствам, предусматривающая предоставление РГО на условиях субсидиарной ответственности РГО поручительств (далее – поручительства)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займа с микрофинансовыми организациями.</w:t>
      </w:r>
    </w:p>
    <w:p w14:paraId="7FFBE0B3"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1.3. Настоящее Соглашение регламентирует участие Микрофинансовой организации в программе РГО в качестве партнёра. </w:t>
      </w:r>
    </w:p>
    <w:p w14:paraId="7CE8339A" w14:textId="77777777" w:rsidR="00011A19" w:rsidRPr="00933E2F" w:rsidRDefault="00011A19" w:rsidP="00011A19">
      <w:pPr>
        <w:jc w:val="both"/>
        <w:rPr>
          <w:rFonts w:ascii="Arial" w:hAnsi="Arial" w:cs="Arial"/>
          <w:sz w:val="26"/>
          <w:szCs w:val="26"/>
        </w:rPr>
      </w:pPr>
    </w:p>
    <w:p w14:paraId="73108F75" w14:textId="77777777" w:rsidR="00011A19" w:rsidRPr="00933E2F" w:rsidRDefault="00011A19" w:rsidP="00011A19">
      <w:pPr>
        <w:jc w:val="center"/>
        <w:rPr>
          <w:rFonts w:ascii="Arial" w:hAnsi="Arial" w:cs="Arial"/>
          <w:sz w:val="26"/>
          <w:szCs w:val="26"/>
        </w:rPr>
      </w:pPr>
      <w:r w:rsidRPr="00933E2F">
        <w:rPr>
          <w:rFonts w:ascii="Arial" w:hAnsi="Arial" w:cs="Arial"/>
          <w:sz w:val="26"/>
          <w:szCs w:val="26"/>
        </w:rPr>
        <w:t>2. Программа РГО</w:t>
      </w:r>
    </w:p>
    <w:p w14:paraId="5D5C66BA" w14:textId="77777777" w:rsidR="00011A19" w:rsidRPr="00933E2F" w:rsidRDefault="00011A19" w:rsidP="00011A19">
      <w:pPr>
        <w:jc w:val="center"/>
        <w:rPr>
          <w:rFonts w:ascii="Arial" w:hAnsi="Arial" w:cs="Arial"/>
          <w:sz w:val="26"/>
          <w:szCs w:val="26"/>
        </w:rPr>
      </w:pPr>
    </w:p>
    <w:p w14:paraId="3CDDC4B6"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lastRenderedPageBreak/>
        <w:tab/>
        <w:t>2.1. Программа РГО предусматривает предоставление на условиях субсидиарной ответственности РГО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займа с Микрофинансовой организацией. В этих целях уполномоченными органами РГО утверждаются:</w:t>
      </w:r>
    </w:p>
    <w:p w14:paraId="22D05D79"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требования к субъектам МСП, физическим лицам, применяющим специальный налоговый режим «Налог на профессиональный доход» и их заявкам на получение займа, по которым РГО предоставляет поручительства;</w:t>
      </w:r>
    </w:p>
    <w:p w14:paraId="2E9EBF41"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 ограничения по размеру представляемых РГО поручительств, как в абсолютном, так и в относительном выражении; </w:t>
      </w:r>
    </w:p>
    <w:p w14:paraId="1B1BE15B"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общий лимит поручительств (максимальный совокупный объём всех действующих поручительств РГО), и порядок его изменения;</w:t>
      </w:r>
    </w:p>
    <w:p w14:paraId="17A11124"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лимит партнёра РГО - максимальный объем поручительств партнёра РГО;</w:t>
      </w:r>
    </w:p>
    <w:p w14:paraId="191B4495"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внутренние нормативные документы, регламентирующие порядок и условия предоставления поручительств по договорам займа с микрофинансовыми организациями;</w:t>
      </w:r>
    </w:p>
    <w:p w14:paraId="4622CBF0" w14:textId="77777777" w:rsidR="00011A19" w:rsidRPr="00933E2F" w:rsidRDefault="00011A19" w:rsidP="00011A19">
      <w:pPr>
        <w:jc w:val="both"/>
        <w:rPr>
          <w:rFonts w:ascii="Arial" w:hAnsi="Arial" w:cs="Arial"/>
          <w:color w:val="000000"/>
          <w:sz w:val="26"/>
          <w:szCs w:val="26"/>
        </w:rPr>
      </w:pPr>
      <w:r w:rsidRPr="00933E2F">
        <w:rPr>
          <w:rFonts w:ascii="Arial" w:hAnsi="Arial" w:cs="Arial"/>
          <w:sz w:val="26"/>
          <w:szCs w:val="26"/>
        </w:rPr>
        <w:tab/>
        <w:t>-  типовая форма договора поручительства по договору займа с микрофинансовыми организациями.</w:t>
      </w:r>
    </w:p>
    <w:p w14:paraId="3FF69ECA" w14:textId="77777777" w:rsidR="00011A19" w:rsidRPr="00933E2F" w:rsidRDefault="00011A19" w:rsidP="00011A19">
      <w:pPr>
        <w:jc w:val="both"/>
        <w:rPr>
          <w:rFonts w:ascii="Arial" w:hAnsi="Arial" w:cs="Arial"/>
          <w:sz w:val="26"/>
          <w:szCs w:val="26"/>
        </w:rPr>
      </w:pPr>
    </w:p>
    <w:p w14:paraId="733674BC" w14:textId="77777777" w:rsidR="00011A19" w:rsidRPr="00933E2F" w:rsidRDefault="00011A19" w:rsidP="00011A19">
      <w:pPr>
        <w:jc w:val="center"/>
        <w:rPr>
          <w:rFonts w:ascii="Arial" w:hAnsi="Arial" w:cs="Arial"/>
          <w:sz w:val="26"/>
          <w:szCs w:val="26"/>
        </w:rPr>
      </w:pPr>
      <w:r w:rsidRPr="00933E2F">
        <w:rPr>
          <w:rFonts w:ascii="Arial" w:hAnsi="Arial" w:cs="Arial"/>
          <w:sz w:val="26"/>
          <w:szCs w:val="26"/>
        </w:rPr>
        <w:t xml:space="preserve"> 3. Принципы взаимодействия Сторон</w:t>
      </w:r>
    </w:p>
    <w:p w14:paraId="0B2949D6" w14:textId="77777777" w:rsidR="00011A19" w:rsidRPr="00933E2F" w:rsidRDefault="00011A19" w:rsidP="00011A19">
      <w:pPr>
        <w:jc w:val="center"/>
        <w:rPr>
          <w:rFonts w:ascii="Arial" w:hAnsi="Arial" w:cs="Arial"/>
          <w:sz w:val="26"/>
          <w:szCs w:val="26"/>
        </w:rPr>
      </w:pPr>
    </w:p>
    <w:p w14:paraId="4A023BD5"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3.1. Настоящее Соглашение не ограничивает Стороны во взаимоотношениях с другими организациями (партнёрами) для достижения целей, указанных в настоящем Соглашении, и не направлено на ограничение конкуренции на рынке финансовых услуг.</w:t>
      </w:r>
    </w:p>
    <w:p w14:paraId="52BE30D8"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3.2. Стороны в своей деятельности руководствуются принципами открытости, прозрачности, публичности и конкуренции. </w:t>
      </w:r>
    </w:p>
    <w:p w14:paraId="6564BFD5"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3.3. РГО ежеквартально предоставляет по запросу Микрофинансовой организации информацию:</w:t>
      </w:r>
    </w:p>
    <w:p w14:paraId="652047C3"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 размере активов РГО, их качественной и количественной структуре по состоянию на последний отчётный период (квартал);</w:t>
      </w:r>
    </w:p>
    <w:p w14:paraId="226DE792"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об общем объёме действующих обязательств перед всеми партнёрами РГО по состоянию на последний отчётный период (квартал);</w:t>
      </w:r>
    </w:p>
    <w:p w14:paraId="6D599CCF"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об объёме выданных РГО поручительств и прекращённых обязательствах по состоянию на последний отчётный период (квартал);</w:t>
      </w:r>
    </w:p>
    <w:p w14:paraId="21E1AA10"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 бухгалтерский баланс и отчёт о финансовых результатах на позднее 15 (пятнадцати) рабочих дней после истечения сроков, установленных законодательством Российской Федерации для предоставления документов бухгалтерской отчётности в уполномоченный налоговый орган; </w:t>
      </w:r>
    </w:p>
    <w:p w14:paraId="6945DAD6"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 текущих (оставшихся) объёмах лимита поручительств на партнёра РГО.</w:t>
      </w:r>
    </w:p>
    <w:p w14:paraId="37E93855"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3.4. Микрофинансовая организация ежеквартально предоставляет по запросу РГО информацию:</w:t>
      </w:r>
    </w:p>
    <w:p w14:paraId="0922E0A3"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 - об объёме займов, выданных под поручительство РГО за прошедший период (квартал);</w:t>
      </w:r>
    </w:p>
    <w:p w14:paraId="1A1072D5"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lastRenderedPageBreak/>
        <w:tab/>
        <w:t>- об общем объёме займов, выданных Микрофинансовой организацией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за прошедший период (квартал);</w:t>
      </w:r>
    </w:p>
    <w:p w14:paraId="04120FE7"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об общем количестве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получивших займы за прошедший период (квартал);</w:t>
      </w:r>
    </w:p>
    <w:p w14:paraId="43F8BF13"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 причинах отказов в выдаче займов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(обобщённая информация) за прошедший период (квартал);</w:t>
      </w:r>
    </w:p>
    <w:p w14:paraId="38C7118C"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об общем объёме просроченных и неисполненных субъектами МСП, организациями инфраструктуры поддержки субъектов МСП, физическими лицами, применяющими специальный налоговый режим «Налог на профессиональный доход» обязательств по договорам займа, выданным под поручительство РГО;</w:t>
      </w:r>
    </w:p>
    <w:p w14:paraId="47F8F2F0"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об общем объёме требований, предъявленных Микрофинансовой организаций к РГО по выданным поручительствам за прошедший период (квартал).</w:t>
      </w:r>
    </w:p>
    <w:p w14:paraId="348CBB2D" w14:textId="77777777" w:rsidR="00011A19" w:rsidRPr="00933E2F" w:rsidRDefault="00011A19" w:rsidP="00011A19">
      <w:pPr>
        <w:ind w:firstLine="709"/>
        <w:jc w:val="both"/>
        <w:rPr>
          <w:rFonts w:ascii="Arial" w:hAnsi="Arial" w:cs="Arial"/>
        </w:rPr>
      </w:pPr>
      <w:r w:rsidRPr="00933E2F">
        <w:rPr>
          <w:rFonts w:ascii="Arial" w:hAnsi="Arial" w:cs="Arial"/>
        </w:rPr>
        <w:t>3.5. Стороны пришли к соглашению, что к правоотношениям между РГО и Микрофинансовой организацией, вытекающим из договора поручительства,  не применяются положения о консолидации требований, в том числе в рамках дел о банкротстве, при переходе к РГО прав требования Микрофинансовой организации к заемщику и акцессорным лицам по обязательству о предоставлении займа, в том объеме, в котором Агентство как поручитель фактически удовлетворило требования Микрофинансовой организации. Стороны реализуют имеющиеся у них права к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(принципалам) и акцессорным с ними лицам самостоятельно, без приоритета на получение исполнения. Приоритет на получение исполнения сохраняется за Микрофинансовой организацией в отношении средств, поступивших от реализации предмета залога. В этой части стороны не изменяют очередность погашения требований от реализации предмета залога, предусмотренную действующим законодательством.</w:t>
      </w:r>
    </w:p>
    <w:p w14:paraId="15F58CF6" w14:textId="77777777" w:rsidR="00011A19" w:rsidRPr="00933E2F" w:rsidRDefault="00011A19" w:rsidP="00011A19">
      <w:pPr>
        <w:ind w:left="720"/>
        <w:jc w:val="both"/>
        <w:rPr>
          <w:rFonts w:ascii="Arial" w:hAnsi="Arial" w:cs="Arial"/>
        </w:rPr>
      </w:pPr>
    </w:p>
    <w:p w14:paraId="082D6428" w14:textId="77777777" w:rsidR="00011A19" w:rsidRPr="00933E2F" w:rsidRDefault="00011A19" w:rsidP="00011A19">
      <w:pPr>
        <w:jc w:val="center"/>
        <w:rPr>
          <w:rFonts w:ascii="Arial" w:hAnsi="Arial" w:cs="Arial"/>
          <w:sz w:val="26"/>
          <w:szCs w:val="26"/>
        </w:rPr>
      </w:pPr>
      <w:r w:rsidRPr="00933E2F">
        <w:rPr>
          <w:rFonts w:ascii="Arial" w:hAnsi="Arial" w:cs="Arial"/>
          <w:sz w:val="26"/>
          <w:szCs w:val="26"/>
        </w:rPr>
        <w:t>4. Обязанности Сторон</w:t>
      </w:r>
    </w:p>
    <w:p w14:paraId="5067FB24" w14:textId="77777777" w:rsidR="00011A19" w:rsidRPr="00933E2F" w:rsidRDefault="00011A19" w:rsidP="00011A19">
      <w:pPr>
        <w:jc w:val="center"/>
        <w:rPr>
          <w:rFonts w:ascii="Arial" w:hAnsi="Arial" w:cs="Arial"/>
          <w:sz w:val="26"/>
          <w:szCs w:val="26"/>
        </w:rPr>
      </w:pPr>
    </w:p>
    <w:p w14:paraId="401A7F27"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4.1. РГО обязуется:</w:t>
      </w:r>
    </w:p>
    <w:p w14:paraId="538CC44C"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4.1.1. Обеспечить единые принципы участия микрофинансовых организаций в программе РГО.</w:t>
      </w:r>
    </w:p>
    <w:p w14:paraId="5A537C3D"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4.1.2. Проводить активную политику по информированию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w:t>
      </w:r>
    </w:p>
    <w:p w14:paraId="4FD207D3"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4.1.3. Обеспечивать выдачу поручительств в рамках установленного Микрофинансовой организации лимита в соответствии с требованиями действующих на момент выдачи внутренних нормативных документов РГО. </w:t>
      </w:r>
    </w:p>
    <w:p w14:paraId="4783176C"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lastRenderedPageBreak/>
        <w:tab/>
        <w:t>4.1.4. Использовать ссылки на Микрофинансовую организацию при реализации политики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программе РГО, в том числе обеспечить доступ к ссылке на сайт Микрофинансовой организации на сайте РГО.</w:t>
      </w:r>
    </w:p>
    <w:p w14:paraId="0B26680C"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4.1.5. В случае необходимости привлекать специалистов Микрофинансовой организации для разработки новых редакций внутренних нормативных документов, регламентирующих деятельность РГО и её взаимодействие с Микрофинансовой организацией.</w:t>
      </w:r>
    </w:p>
    <w:p w14:paraId="5B7257B8"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4.1.6. Своевременно информировать Микрофинансовую организацию об утверждённых РГО внутренних нормативных документах, регламентирующих взаимодействие Сторон в рамках настоящего Соглашения.</w:t>
      </w:r>
    </w:p>
    <w:p w14:paraId="4C9C12FF"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4.1.7. По запросу Микрофинансовой организации предоставлять иные сведения и (или) документы, касающиеся деятельности РГО, в том числе по предоставлению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займа, если это не противоречит требованиям действующего законодательства Российской Федерации.</w:t>
      </w:r>
    </w:p>
    <w:p w14:paraId="1A91A2B8"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4.2. Микрофинансовая организация обязуется:</w:t>
      </w:r>
    </w:p>
    <w:p w14:paraId="601C3DC4"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4.2.1. Обеспечивать выдачу займов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с привлечением в качестве обеспечения таких займов поручительством РГО путём заключения</w:t>
      </w:r>
      <w:r w:rsidRPr="00933E2F">
        <w:rPr>
          <w:rFonts w:ascii="Arial" w:hAnsi="Arial" w:cs="Arial"/>
          <w:sz w:val="26"/>
          <w:szCs w:val="26"/>
        </w:rPr>
        <w:br/>
        <w:t xml:space="preserve">договоров поручительства по типовой форме, </w:t>
      </w:r>
      <w:proofErr w:type="gramStart"/>
      <w:r w:rsidRPr="00933E2F">
        <w:rPr>
          <w:rFonts w:ascii="Arial" w:hAnsi="Arial" w:cs="Arial"/>
          <w:sz w:val="26"/>
          <w:szCs w:val="26"/>
        </w:rPr>
        <w:t>утвержденной  уполномоченным</w:t>
      </w:r>
      <w:proofErr w:type="gramEnd"/>
      <w:r w:rsidRPr="00933E2F">
        <w:rPr>
          <w:rFonts w:ascii="Arial" w:hAnsi="Arial" w:cs="Arial"/>
          <w:sz w:val="26"/>
          <w:szCs w:val="26"/>
        </w:rPr>
        <w:t xml:space="preserve"> органом РГО.</w:t>
      </w:r>
    </w:p>
    <w:p w14:paraId="367A68A3"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4.2.2. Оказывать информационную и консультационную поддержку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в определении предпочтительных форм финансирования проектов и текущей деятельности.</w:t>
      </w:r>
    </w:p>
    <w:p w14:paraId="110D064A"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 xml:space="preserve">4.2.3. Информировать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 а также оказывать им консультационную поддержку по программе РГО; </w:t>
      </w:r>
    </w:p>
    <w:p w14:paraId="3BB70CE4"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4.2.4. Проводить взвешенную и осмотрительную политику финансирования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программе РГО.</w:t>
      </w:r>
    </w:p>
    <w:p w14:paraId="78764FA8"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tab/>
        <w:t>4.2.5. Обеспечивать создание условий для внедрения перспективных микрофинансовых продуктов и технологий обслуживания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6DDACF26" w14:textId="77777777" w:rsidR="00011A19" w:rsidRPr="00933E2F" w:rsidRDefault="00011A19" w:rsidP="00011A19">
      <w:pPr>
        <w:jc w:val="both"/>
        <w:rPr>
          <w:rFonts w:ascii="Arial" w:hAnsi="Arial" w:cs="Arial"/>
          <w:sz w:val="26"/>
          <w:szCs w:val="26"/>
        </w:rPr>
      </w:pPr>
      <w:r w:rsidRPr="00933E2F">
        <w:rPr>
          <w:rFonts w:ascii="Arial" w:hAnsi="Arial" w:cs="Arial"/>
          <w:sz w:val="26"/>
          <w:szCs w:val="26"/>
        </w:rPr>
        <w:lastRenderedPageBreak/>
        <w:tab/>
        <w:t>4.2.6. Участвовать в деятельности по выработке предложений, направленных на повышение эффективности взаимодействия Сторон в рамках реализации настоящего Соглашения.</w:t>
      </w:r>
    </w:p>
    <w:p w14:paraId="7E49CD07"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4.2.7. Принимать по просьбе РГО участие в разработке внутренних нормативных документов, регламентирующих взаимодействие РГО с микрофинансовыми организациями, а также внутренних нормативных документов необходимых для реализации настоящего Соглашения и их редакций.</w:t>
      </w:r>
    </w:p>
    <w:p w14:paraId="704B78DB"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 xml:space="preserve">4.2.8. В процессе выдачи займов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по программе РГО соблюдать касающиеся Микрофинансовой организации положения действующих на момент выдачи займа внутренних нормативных документов РГО, регламентирующих порядок и условия предоставления поручительств по договорам займа. </w:t>
      </w:r>
    </w:p>
    <w:p w14:paraId="1A685861"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4.2.9. Осуществлять в порядке, предусмотренном локальными нормативными актами Микрофинансовой организации, мониторинг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течение всего срока действия договора займа, обеспеченного поручительством, и ежеквартально предоставлять информацию о проверке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срок не позднее 5 (пяти) рабочих дней со дня проведения соответствующей проверки.</w:t>
      </w:r>
    </w:p>
    <w:p w14:paraId="30134D97"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4.2.10. По запросу РГО предоставлять иные сведения и (или) документы, касающиеся деятельности Микрофинансовой организации, в том числе по договорам займа, обеспеченным поручительством, если это не противоречит требованиям действующего законодательства Российской Федерации.</w:t>
      </w:r>
    </w:p>
    <w:p w14:paraId="6F947737" w14:textId="77777777" w:rsidR="00011A19" w:rsidRPr="00933E2F" w:rsidRDefault="00011A19" w:rsidP="00011A19">
      <w:pPr>
        <w:ind w:firstLine="720"/>
        <w:jc w:val="both"/>
        <w:rPr>
          <w:rFonts w:ascii="Arial" w:hAnsi="Arial" w:cs="Arial"/>
        </w:rPr>
      </w:pPr>
      <w:r w:rsidRPr="00933E2F">
        <w:rPr>
          <w:rFonts w:ascii="Arial" w:hAnsi="Arial" w:cs="Arial"/>
        </w:rPr>
        <w:t>4.2.11. Предоставлять в РГО сведения и документы, необходимые для периодического мониторинга Агентством финансовых организаций в соответствии с положениями Приказа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 в срок не позднее 5 (пяти) рабочих дней с даты получения запроса.</w:t>
      </w:r>
    </w:p>
    <w:p w14:paraId="2DAE5F42" w14:textId="77777777" w:rsidR="00011A19" w:rsidRPr="00933E2F" w:rsidRDefault="00011A19" w:rsidP="00011A19">
      <w:pPr>
        <w:jc w:val="both"/>
        <w:rPr>
          <w:rFonts w:ascii="Arial" w:hAnsi="Arial" w:cs="Arial"/>
          <w:color w:val="000000"/>
          <w:sz w:val="26"/>
          <w:szCs w:val="26"/>
        </w:rPr>
      </w:pPr>
    </w:p>
    <w:p w14:paraId="15893E92" w14:textId="77777777" w:rsidR="00011A19" w:rsidRPr="00933E2F" w:rsidRDefault="00011A19" w:rsidP="00011A19">
      <w:pPr>
        <w:jc w:val="center"/>
        <w:rPr>
          <w:rFonts w:ascii="Arial" w:eastAsia="Calibri" w:hAnsi="Arial" w:cs="Arial"/>
          <w:sz w:val="26"/>
          <w:szCs w:val="26"/>
        </w:rPr>
      </w:pPr>
      <w:r w:rsidRPr="00933E2F">
        <w:rPr>
          <w:rFonts w:ascii="Arial" w:eastAsia="Calibri" w:hAnsi="Arial" w:cs="Arial"/>
          <w:sz w:val="26"/>
          <w:szCs w:val="26"/>
        </w:rPr>
        <w:t>5. Другие договорённости</w:t>
      </w:r>
    </w:p>
    <w:p w14:paraId="4D32277A" w14:textId="77777777" w:rsidR="00011A19" w:rsidRPr="00933E2F" w:rsidRDefault="00011A19" w:rsidP="00011A19">
      <w:pPr>
        <w:jc w:val="center"/>
        <w:rPr>
          <w:rFonts w:ascii="Arial" w:eastAsia="Calibri" w:hAnsi="Arial" w:cs="Arial"/>
          <w:sz w:val="26"/>
          <w:szCs w:val="26"/>
        </w:rPr>
      </w:pPr>
    </w:p>
    <w:p w14:paraId="18215541" w14:textId="77777777" w:rsidR="00011A19" w:rsidRPr="00933E2F" w:rsidRDefault="00011A19" w:rsidP="00011A19">
      <w:pPr>
        <w:jc w:val="both"/>
        <w:rPr>
          <w:rFonts w:ascii="Arial" w:eastAsia="Calibri" w:hAnsi="Arial" w:cs="Arial"/>
          <w:sz w:val="26"/>
          <w:szCs w:val="26"/>
        </w:rPr>
      </w:pPr>
      <w:r w:rsidRPr="00933E2F">
        <w:rPr>
          <w:rFonts w:ascii="Arial" w:eastAsia="Calibri" w:hAnsi="Arial" w:cs="Arial"/>
          <w:sz w:val="26"/>
          <w:szCs w:val="26"/>
        </w:rPr>
        <w:tab/>
        <w:t>5.1. Стороны также договорились:</w:t>
      </w:r>
    </w:p>
    <w:p w14:paraId="51D06199" w14:textId="77777777" w:rsidR="00011A19" w:rsidRPr="00933E2F" w:rsidRDefault="00011A19" w:rsidP="00011A19">
      <w:pPr>
        <w:ind w:firstLine="708"/>
        <w:jc w:val="both"/>
        <w:rPr>
          <w:rFonts w:ascii="Arial" w:eastAsia="Calibri" w:hAnsi="Arial" w:cs="Arial"/>
          <w:sz w:val="26"/>
          <w:szCs w:val="26"/>
        </w:rPr>
      </w:pPr>
      <w:r w:rsidRPr="00933E2F">
        <w:rPr>
          <w:rFonts w:ascii="Arial" w:eastAsia="Calibri" w:hAnsi="Arial" w:cs="Arial"/>
          <w:sz w:val="26"/>
          <w:szCs w:val="26"/>
        </w:rPr>
        <w:t>5.1.1. О сотрудничестве в сфере проведения семинаров и презентаций для субъектов МСП</w:t>
      </w:r>
      <w:r w:rsidRPr="00933E2F">
        <w:rPr>
          <w:rFonts w:ascii="Arial" w:hAnsi="Arial" w:cs="Arial"/>
          <w:sz w:val="26"/>
          <w:szCs w:val="26"/>
        </w:rPr>
        <w:t>, организаций инфраструктуры поддержки субъектов МСП, физических лиц, применяющих специальный налоговый режим «Налог на профессиональный доход»</w:t>
      </w:r>
      <w:r w:rsidRPr="00933E2F">
        <w:rPr>
          <w:rFonts w:ascii="Arial" w:eastAsia="Calibri" w:hAnsi="Arial" w:cs="Arial"/>
          <w:sz w:val="26"/>
          <w:szCs w:val="26"/>
        </w:rPr>
        <w:t xml:space="preserve"> по вопросам управления финансами организации, продуктам и технологиям обслуживания.</w:t>
      </w:r>
    </w:p>
    <w:p w14:paraId="423D1342" w14:textId="77777777" w:rsidR="00011A19" w:rsidRPr="00933E2F" w:rsidRDefault="00011A19" w:rsidP="00011A19">
      <w:pPr>
        <w:ind w:firstLine="708"/>
        <w:jc w:val="both"/>
        <w:rPr>
          <w:rFonts w:ascii="Arial" w:eastAsia="Calibri" w:hAnsi="Arial" w:cs="Arial"/>
          <w:color w:val="000000"/>
          <w:sz w:val="26"/>
          <w:szCs w:val="26"/>
        </w:rPr>
      </w:pPr>
      <w:r w:rsidRPr="00933E2F">
        <w:rPr>
          <w:rFonts w:ascii="Arial" w:eastAsia="Calibri" w:hAnsi="Arial" w:cs="Arial"/>
          <w:sz w:val="26"/>
          <w:szCs w:val="26"/>
        </w:rPr>
        <w:t>5.1.2. О проведении совместных информационных компаний, направленных на информирование субъектов МСП,</w:t>
      </w:r>
      <w:r w:rsidRPr="00933E2F">
        <w:rPr>
          <w:rFonts w:ascii="Arial" w:hAnsi="Arial" w:cs="Arial"/>
          <w:sz w:val="26"/>
          <w:szCs w:val="26"/>
        </w:rPr>
        <w:t xml:space="preserve"> организаций инфраструктуры поддержки субъектов МСП, физических лиц, применяющих </w:t>
      </w:r>
      <w:r w:rsidRPr="00933E2F">
        <w:rPr>
          <w:rFonts w:ascii="Arial" w:hAnsi="Arial" w:cs="Arial"/>
          <w:sz w:val="26"/>
          <w:szCs w:val="26"/>
        </w:rPr>
        <w:lastRenderedPageBreak/>
        <w:t>специальный налоговый режим «Налог на профессиональный доход»</w:t>
      </w:r>
      <w:r w:rsidRPr="00933E2F">
        <w:rPr>
          <w:rFonts w:ascii="Arial" w:eastAsia="Calibri" w:hAnsi="Arial" w:cs="Arial"/>
          <w:sz w:val="26"/>
          <w:szCs w:val="26"/>
        </w:rPr>
        <w:t xml:space="preserve"> о существующих и новых формах финансовой поддержки малого и среднего предпринимательства, а также финансовых услугах, направленных на содействие развитию субъектов МСП</w:t>
      </w:r>
      <w:r w:rsidRPr="00933E2F">
        <w:rPr>
          <w:rFonts w:ascii="Arial" w:hAnsi="Arial" w:cs="Arial"/>
          <w:sz w:val="26"/>
          <w:szCs w:val="26"/>
        </w:rPr>
        <w:t>, организаций инфраструктуры поддержки субъектов МСП, физических лиц, применяющих специальный налоговый режим «Налог на профессиональный доход»</w:t>
      </w:r>
      <w:r w:rsidRPr="00933E2F">
        <w:rPr>
          <w:rFonts w:ascii="Arial" w:eastAsia="Calibri" w:hAnsi="Arial" w:cs="Arial"/>
          <w:sz w:val="26"/>
          <w:szCs w:val="26"/>
        </w:rPr>
        <w:t>.</w:t>
      </w:r>
    </w:p>
    <w:p w14:paraId="3C189B4D" w14:textId="77777777" w:rsidR="00011A19" w:rsidRPr="00933E2F" w:rsidRDefault="00011A19" w:rsidP="00011A19">
      <w:pPr>
        <w:ind w:firstLine="708"/>
        <w:jc w:val="both"/>
        <w:rPr>
          <w:rFonts w:ascii="Arial" w:eastAsia="Calibri" w:hAnsi="Arial" w:cs="Arial"/>
          <w:sz w:val="26"/>
          <w:szCs w:val="26"/>
        </w:rPr>
      </w:pPr>
      <w:r w:rsidRPr="00933E2F">
        <w:rPr>
          <w:rFonts w:ascii="Arial" w:eastAsia="Calibri" w:hAnsi="Arial" w:cs="Arial"/>
          <w:sz w:val="26"/>
          <w:szCs w:val="26"/>
        </w:rPr>
        <w:t>5.1.3. О взаимном консультировании по вопросам развития субъектов МСП</w:t>
      </w:r>
      <w:r w:rsidRPr="00933E2F">
        <w:rPr>
          <w:rFonts w:ascii="Arial" w:hAnsi="Arial" w:cs="Arial"/>
          <w:sz w:val="26"/>
          <w:szCs w:val="26"/>
        </w:rPr>
        <w:t>, организаций инфраструктуры поддержки субъектов МСП, физических лиц, применяющих специальный налоговый режим «Налог на профессиональный доход»</w:t>
      </w:r>
      <w:r w:rsidRPr="00933E2F">
        <w:rPr>
          <w:rFonts w:ascii="Arial" w:eastAsia="Calibri" w:hAnsi="Arial" w:cs="Arial"/>
          <w:sz w:val="26"/>
          <w:szCs w:val="26"/>
        </w:rPr>
        <w:t>.</w:t>
      </w:r>
    </w:p>
    <w:p w14:paraId="170AA806" w14:textId="77777777" w:rsidR="00011A19" w:rsidRPr="00933E2F" w:rsidRDefault="00011A19" w:rsidP="00011A19">
      <w:pPr>
        <w:keepNext/>
        <w:keepLines/>
        <w:jc w:val="both"/>
        <w:outlineLvl w:val="0"/>
        <w:rPr>
          <w:rFonts w:ascii="Arial" w:hAnsi="Arial" w:cs="Arial"/>
          <w:bCs/>
          <w:sz w:val="26"/>
          <w:szCs w:val="26"/>
        </w:rPr>
      </w:pPr>
    </w:p>
    <w:p w14:paraId="0EDCB9DC" w14:textId="77777777" w:rsidR="00011A19" w:rsidRPr="00933E2F" w:rsidRDefault="00011A19" w:rsidP="00011A19">
      <w:pPr>
        <w:jc w:val="center"/>
        <w:rPr>
          <w:rFonts w:ascii="Arial" w:hAnsi="Arial" w:cs="Arial"/>
          <w:sz w:val="26"/>
          <w:szCs w:val="26"/>
        </w:rPr>
      </w:pPr>
    </w:p>
    <w:p w14:paraId="44D2F1EE" w14:textId="77777777" w:rsidR="00011A19" w:rsidRPr="00933E2F" w:rsidRDefault="00011A19" w:rsidP="00011A19">
      <w:pPr>
        <w:jc w:val="center"/>
        <w:rPr>
          <w:rFonts w:ascii="Arial" w:hAnsi="Arial" w:cs="Arial"/>
          <w:sz w:val="26"/>
          <w:szCs w:val="26"/>
        </w:rPr>
      </w:pPr>
      <w:r w:rsidRPr="00933E2F">
        <w:rPr>
          <w:rFonts w:ascii="Arial" w:hAnsi="Arial" w:cs="Arial"/>
          <w:sz w:val="26"/>
          <w:szCs w:val="26"/>
        </w:rPr>
        <w:t>6. Условия конфиденциальности</w:t>
      </w:r>
    </w:p>
    <w:p w14:paraId="6B981C76" w14:textId="77777777" w:rsidR="00011A19" w:rsidRPr="00933E2F" w:rsidRDefault="00011A19" w:rsidP="00011A19">
      <w:pPr>
        <w:jc w:val="center"/>
        <w:rPr>
          <w:rFonts w:ascii="Arial" w:hAnsi="Arial" w:cs="Arial"/>
          <w:sz w:val="26"/>
          <w:szCs w:val="26"/>
        </w:rPr>
      </w:pPr>
    </w:p>
    <w:p w14:paraId="4588D560" w14:textId="77777777" w:rsidR="00011A19" w:rsidRPr="00933E2F" w:rsidRDefault="00011A19" w:rsidP="00011A19">
      <w:pPr>
        <w:ind w:firstLine="540"/>
        <w:jc w:val="both"/>
        <w:rPr>
          <w:rFonts w:ascii="Arial" w:hAnsi="Arial" w:cs="Arial"/>
          <w:sz w:val="26"/>
          <w:szCs w:val="26"/>
        </w:rPr>
      </w:pPr>
      <w:r w:rsidRPr="00933E2F">
        <w:rPr>
          <w:rFonts w:ascii="Arial" w:hAnsi="Arial" w:cs="Arial"/>
          <w:sz w:val="26"/>
          <w:szCs w:val="26"/>
        </w:rPr>
        <w:t>6.1. Передаваемая в рамках настоящего Соглашения РГО и Микрофинансовой организацией информация с грифом «Конфиденциально» является конфиденциальной и не подлежит распространению третьим лицам, если иное прямо не установлено Сторонами и законодательством Российской Федерации.</w:t>
      </w:r>
    </w:p>
    <w:p w14:paraId="2D6E9D1E" w14:textId="77777777" w:rsidR="00011A19" w:rsidRPr="00933E2F" w:rsidRDefault="00011A19" w:rsidP="00011A19">
      <w:pPr>
        <w:ind w:firstLine="540"/>
        <w:jc w:val="both"/>
        <w:rPr>
          <w:rFonts w:ascii="Arial" w:hAnsi="Arial" w:cs="Arial"/>
          <w:sz w:val="26"/>
          <w:szCs w:val="26"/>
        </w:rPr>
      </w:pPr>
    </w:p>
    <w:p w14:paraId="078E4831" w14:textId="77777777" w:rsidR="00011A19" w:rsidRPr="00933E2F" w:rsidRDefault="00011A19" w:rsidP="00011A19">
      <w:pPr>
        <w:keepNext/>
        <w:keepLines/>
        <w:jc w:val="center"/>
        <w:outlineLvl w:val="0"/>
        <w:rPr>
          <w:rFonts w:ascii="Arial" w:hAnsi="Arial" w:cs="Arial"/>
          <w:bCs/>
          <w:color w:val="000000"/>
          <w:sz w:val="26"/>
          <w:szCs w:val="26"/>
        </w:rPr>
      </w:pPr>
      <w:r w:rsidRPr="00933E2F">
        <w:rPr>
          <w:rFonts w:ascii="Arial" w:hAnsi="Arial" w:cs="Arial"/>
          <w:bCs/>
          <w:sz w:val="26"/>
          <w:szCs w:val="26"/>
        </w:rPr>
        <w:t>7. Заключительные положения</w:t>
      </w:r>
    </w:p>
    <w:p w14:paraId="78742D6E" w14:textId="77777777" w:rsidR="00011A19" w:rsidRPr="00933E2F" w:rsidRDefault="00011A19" w:rsidP="00011A19">
      <w:pPr>
        <w:rPr>
          <w:rFonts w:ascii="Arial" w:hAnsi="Arial" w:cs="Arial"/>
          <w:sz w:val="26"/>
          <w:szCs w:val="26"/>
        </w:rPr>
      </w:pPr>
    </w:p>
    <w:p w14:paraId="1BFFC68E"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7.1. Настоящее Соглашение вступает в силу с момента подписания его Сторонами и действует бессрочно.</w:t>
      </w:r>
    </w:p>
    <w:p w14:paraId="3E70F726"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7.2. Каждая из Сторон вправе в одностороннем порядке досрочно расторгнуть настоящее Соглашение, письменно уведомив другую Сторону за 30 (Тридцать) календарных дней до даты предполагаемого расторжения настоящего Соглашения.</w:t>
      </w:r>
    </w:p>
    <w:p w14:paraId="0EC6442D"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 xml:space="preserve">7.3. Настоящее соглашение считается расторгнутым </w:t>
      </w:r>
      <w:r w:rsidRPr="00933E2F">
        <w:rPr>
          <w:rFonts w:ascii="Arial" w:hAnsi="Arial" w:cs="Arial"/>
          <w:sz w:val="26"/>
          <w:szCs w:val="26"/>
          <w:lang w:val="x-none"/>
        </w:rPr>
        <w:t>с даты исключени</w:t>
      </w:r>
      <w:r w:rsidRPr="00933E2F">
        <w:rPr>
          <w:rFonts w:ascii="Arial" w:hAnsi="Arial" w:cs="Arial"/>
          <w:sz w:val="26"/>
          <w:szCs w:val="26"/>
        </w:rPr>
        <w:t>я</w:t>
      </w:r>
      <w:r w:rsidRPr="00933E2F">
        <w:rPr>
          <w:rFonts w:ascii="Arial" w:hAnsi="Arial" w:cs="Arial"/>
          <w:sz w:val="26"/>
          <w:szCs w:val="26"/>
          <w:lang w:val="x-none"/>
        </w:rPr>
        <w:t xml:space="preserve"> сведений о юридическом лице из государственного реестра микрофинансовых организаций у </w:t>
      </w:r>
      <w:r w:rsidRPr="00933E2F">
        <w:rPr>
          <w:rFonts w:ascii="Arial" w:hAnsi="Arial" w:cs="Arial"/>
          <w:sz w:val="26"/>
          <w:szCs w:val="26"/>
        </w:rPr>
        <w:t>Микрофинансовой организации</w:t>
      </w:r>
      <w:r w:rsidRPr="00933E2F">
        <w:rPr>
          <w:rFonts w:ascii="Arial" w:hAnsi="Arial" w:cs="Arial"/>
          <w:sz w:val="26"/>
          <w:szCs w:val="26"/>
          <w:lang w:val="x-none"/>
        </w:rPr>
        <w:t>.</w:t>
      </w:r>
    </w:p>
    <w:p w14:paraId="67321DE1"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 xml:space="preserve">7.4Расторжение настоящего Соглашения не влечёт за собой расторжения действующих договоров поручительства. </w:t>
      </w:r>
    </w:p>
    <w:p w14:paraId="08B12F09"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7.5. Расторжение настоящего Соглашения не накладывает на Стороны никаких финансовых обязательств.</w:t>
      </w:r>
    </w:p>
    <w:p w14:paraId="10662E22"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7.6. Изменения настоящего Соглашения оформляются в письменной форме дополнительными соглашениями и подписываются уполномоченными представителями Сторон.</w:t>
      </w:r>
    </w:p>
    <w:p w14:paraId="3B049B3B" w14:textId="77777777" w:rsidR="00011A19" w:rsidRPr="00933E2F" w:rsidRDefault="00011A19" w:rsidP="00011A19">
      <w:pPr>
        <w:ind w:firstLine="720"/>
        <w:jc w:val="both"/>
        <w:rPr>
          <w:rFonts w:ascii="Arial" w:hAnsi="Arial" w:cs="Arial"/>
          <w:sz w:val="26"/>
          <w:szCs w:val="26"/>
        </w:rPr>
      </w:pPr>
      <w:r w:rsidRPr="00933E2F">
        <w:rPr>
          <w:rFonts w:ascii="Arial" w:hAnsi="Arial" w:cs="Arial"/>
          <w:sz w:val="26"/>
          <w:szCs w:val="26"/>
        </w:rPr>
        <w:t>7.7. Настоящее Соглашение составлено в двух экземплярах, имеющих одинаковую юридическую силу, по одному экземпляру для каждой Стороны.</w:t>
      </w:r>
    </w:p>
    <w:p w14:paraId="3AC3E7D9" w14:textId="77777777" w:rsidR="00011A19" w:rsidRPr="00933E2F" w:rsidRDefault="00011A19" w:rsidP="00011A19">
      <w:pPr>
        <w:jc w:val="both"/>
        <w:rPr>
          <w:rFonts w:ascii="Arial" w:hAnsi="Arial" w:cs="Arial"/>
          <w:b/>
          <w:color w:val="993300"/>
          <w:sz w:val="26"/>
          <w:szCs w:val="26"/>
        </w:rPr>
      </w:pPr>
      <w:r w:rsidRPr="00933E2F">
        <w:rPr>
          <w:rFonts w:ascii="Arial" w:hAnsi="Arial" w:cs="Arial"/>
          <w:sz w:val="26"/>
          <w:szCs w:val="26"/>
        </w:rPr>
        <w:tab/>
      </w:r>
    </w:p>
    <w:p w14:paraId="08A23944" w14:textId="77777777" w:rsidR="00011A19" w:rsidRPr="00933E2F" w:rsidRDefault="00011A19" w:rsidP="00011A19">
      <w:pPr>
        <w:jc w:val="center"/>
        <w:rPr>
          <w:rFonts w:ascii="Arial" w:hAnsi="Arial" w:cs="Arial"/>
          <w:sz w:val="26"/>
          <w:szCs w:val="26"/>
        </w:rPr>
      </w:pPr>
      <w:r w:rsidRPr="00933E2F">
        <w:rPr>
          <w:rFonts w:ascii="Arial" w:hAnsi="Arial" w:cs="Arial"/>
          <w:sz w:val="26"/>
          <w:szCs w:val="26"/>
        </w:rPr>
        <w:t>8. Адреса, реквизиты и подписи Сторон:</w:t>
      </w:r>
    </w:p>
    <w:p w14:paraId="527B997A" w14:textId="77777777" w:rsidR="00011A19" w:rsidRPr="00933E2F" w:rsidRDefault="00011A19" w:rsidP="00011A19">
      <w:pPr>
        <w:jc w:val="center"/>
        <w:rPr>
          <w:rFonts w:ascii="Arial" w:hAnsi="Arial" w:cs="Arial"/>
          <w:b/>
          <w:sz w:val="28"/>
          <w:szCs w:val="28"/>
        </w:rPr>
      </w:pPr>
    </w:p>
    <w:tbl>
      <w:tblPr>
        <w:tblW w:w="9498" w:type="dxa"/>
        <w:tblInd w:w="-34" w:type="dxa"/>
        <w:tblLook w:val="01E0" w:firstRow="1" w:lastRow="1" w:firstColumn="1" w:lastColumn="1" w:noHBand="0" w:noVBand="0"/>
      </w:tblPr>
      <w:tblGrid>
        <w:gridCol w:w="4712"/>
        <w:gridCol w:w="4786"/>
      </w:tblGrid>
      <w:tr w:rsidR="00011A19" w:rsidRPr="00933E2F" w14:paraId="785E6A4E" w14:textId="77777777" w:rsidTr="00DA255B">
        <w:tc>
          <w:tcPr>
            <w:tcW w:w="4712" w:type="dxa"/>
            <w:hideMark/>
          </w:tcPr>
          <w:p w14:paraId="6ABBCADD" w14:textId="77777777" w:rsidR="00011A19" w:rsidRPr="00933E2F" w:rsidRDefault="00011A19" w:rsidP="00DA255B">
            <w:pPr>
              <w:outlineLvl w:val="0"/>
              <w:rPr>
                <w:rFonts w:ascii="Arial" w:hAnsi="Arial" w:cs="Arial"/>
                <w:sz w:val="20"/>
                <w:szCs w:val="20"/>
              </w:rPr>
            </w:pPr>
            <w:r w:rsidRPr="00933E2F">
              <w:rPr>
                <w:rFonts w:ascii="Arial" w:hAnsi="Arial" w:cs="Arial"/>
                <w:sz w:val="20"/>
                <w:szCs w:val="20"/>
              </w:rPr>
              <w:t xml:space="preserve">Микрофинансовая организация: </w:t>
            </w:r>
          </w:p>
        </w:tc>
        <w:tc>
          <w:tcPr>
            <w:tcW w:w="4786" w:type="dxa"/>
            <w:hideMark/>
          </w:tcPr>
          <w:p w14:paraId="41626F8E" w14:textId="77777777" w:rsidR="00011A19" w:rsidRPr="00933E2F" w:rsidRDefault="00011A19" w:rsidP="00DA255B">
            <w:pPr>
              <w:jc w:val="both"/>
              <w:outlineLvl w:val="0"/>
              <w:rPr>
                <w:rFonts w:ascii="Arial" w:hAnsi="Arial" w:cs="Arial"/>
                <w:sz w:val="20"/>
                <w:szCs w:val="20"/>
              </w:rPr>
            </w:pPr>
            <w:r w:rsidRPr="00933E2F">
              <w:rPr>
                <w:rFonts w:ascii="Arial" w:hAnsi="Arial" w:cs="Arial"/>
                <w:sz w:val="20"/>
                <w:szCs w:val="20"/>
              </w:rPr>
              <w:t xml:space="preserve">РГО: </w:t>
            </w:r>
          </w:p>
        </w:tc>
      </w:tr>
      <w:tr w:rsidR="00011A19" w:rsidRPr="00933E2F" w14:paraId="543FCA68" w14:textId="77777777" w:rsidTr="00DA255B">
        <w:tc>
          <w:tcPr>
            <w:tcW w:w="4712" w:type="dxa"/>
          </w:tcPr>
          <w:p w14:paraId="59213CBA" w14:textId="77777777" w:rsidR="00011A19" w:rsidRPr="00933E2F" w:rsidRDefault="00011A19" w:rsidP="00DA255B">
            <w:pPr>
              <w:rPr>
                <w:rFonts w:ascii="Arial" w:hAnsi="Arial" w:cs="Arial"/>
                <w:sz w:val="20"/>
                <w:szCs w:val="20"/>
              </w:rPr>
            </w:pPr>
          </w:p>
        </w:tc>
        <w:tc>
          <w:tcPr>
            <w:tcW w:w="4786" w:type="dxa"/>
          </w:tcPr>
          <w:p w14:paraId="6B23984A" w14:textId="77777777" w:rsidR="00011A19" w:rsidRPr="00933E2F" w:rsidRDefault="00011A19" w:rsidP="00DA255B">
            <w:pPr>
              <w:keepNext/>
              <w:keepLines/>
              <w:tabs>
                <w:tab w:val="left" w:pos="4088"/>
              </w:tabs>
              <w:outlineLvl w:val="0"/>
              <w:rPr>
                <w:rFonts w:ascii="Arial" w:hAnsi="Arial" w:cs="Arial"/>
                <w:b/>
                <w:sz w:val="20"/>
                <w:szCs w:val="20"/>
              </w:rPr>
            </w:pPr>
          </w:p>
          <w:p w14:paraId="4F963E3A" w14:textId="77777777" w:rsidR="00011A19" w:rsidRPr="00933E2F" w:rsidRDefault="00011A19" w:rsidP="00DA255B">
            <w:pPr>
              <w:keepNext/>
              <w:keepLines/>
              <w:tabs>
                <w:tab w:val="left" w:pos="4088"/>
              </w:tabs>
              <w:rPr>
                <w:rFonts w:ascii="Arial" w:hAnsi="Arial" w:cs="Arial"/>
                <w:iCs/>
                <w:sz w:val="20"/>
                <w:szCs w:val="20"/>
                <w:lang w:eastAsia="en-US"/>
              </w:rPr>
            </w:pPr>
            <w:r w:rsidRPr="00933E2F">
              <w:rPr>
                <w:rFonts w:ascii="Arial" w:hAnsi="Arial" w:cs="Arial"/>
                <w:iCs/>
                <w:sz w:val="20"/>
                <w:szCs w:val="20"/>
                <w:lang w:eastAsia="en-US"/>
              </w:rPr>
              <w:t>АНО «АРСГ НО»</w:t>
            </w:r>
          </w:p>
          <w:p w14:paraId="51DE0DE9" w14:textId="77777777" w:rsidR="00011A19" w:rsidRPr="00933E2F" w:rsidRDefault="00011A19" w:rsidP="00DA255B">
            <w:pPr>
              <w:keepNext/>
              <w:keepLines/>
              <w:tabs>
                <w:tab w:val="left" w:pos="4088"/>
              </w:tabs>
              <w:ind w:left="12"/>
              <w:rPr>
                <w:rFonts w:ascii="Arial" w:hAnsi="Arial" w:cs="Arial"/>
                <w:iCs/>
                <w:sz w:val="20"/>
                <w:szCs w:val="20"/>
                <w:lang w:eastAsia="en-US"/>
              </w:rPr>
            </w:pPr>
            <w:r w:rsidRPr="00933E2F">
              <w:rPr>
                <w:rFonts w:ascii="Arial" w:hAnsi="Arial" w:cs="Arial"/>
                <w:iCs/>
                <w:sz w:val="20"/>
                <w:szCs w:val="20"/>
                <w:u w:val="single"/>
                <w:lang w:eastAsia="en-US"/>
              </w:rPr>
              <w:t>ИНН</w:t>
            </w:r>
            <w:r w:rsidRPr="00933E2F">
              <w:rPr>
                <w:rFonts w:ascii="Arial" w:hAnsi="Arial" w:cs="Arial"/>
                <w:iCs/>
                <w:sz w:val="20"/>
                <w:szCs w:val="20"/>
                <w:lang w:eastAsia="en-US"/>
              </w:rPr>
              <w:t xml:space="preserve"> 5260248556</w:t>
            </w:r>
          </w:p>
          <w:p w14:paraId="4EC8917D" w14:textId="77777777" w:rsidR="00011A19" w:rsidRPr="00933E2F" w:rsidRDefault="00011A19" w:rsidP="00DA255B">
            <w:pPr>
              <w:keepNext/>
              <w:keepLines/>
              <w:tabs>
                <w:tab w:val="left" w:pos="4088"/>
              </w:tabs>
              <w:ind w:left="12"/>
              <w:rPr>
                <w:rFonts w:ascii="Arial" w:hAnsi="Arial" w:cs="Arial"/>
                <w:iCs/>
                <w:sz w:val="20"/>
                <w:szCs w:val="20"/>
                <w:lang w:eastAsia="en-US"/>
              </w:rPr>
            </w:pPr>
            <w:r w:rsidRPr="00933E2F">
              <w:rPr>
                <w:rFonts w:ascii="Arial" w:hAnsi="Arial" w:cs="Arial"/>
                <w:iCs/>
                <w:sz w:val="20"/>
                <w:szCs w:val="20"/>
                <w:u w:val="single"/>
                <w:lang w:eastAsia="en-US"/>
              </w:rPr>
              <w:t xml:space="preserve">КПП </w:t>
            </w:r>
            <w:r w:rsidRPr="00933E2F">
              <w:rPr>
                <w:rFonts w:ascii="Arial" w:hAnsi="Arial" w:cs="Arial"/>
                <w:iCs/>
                <w:sz w:val="20"/>
                <w:szCs w:val="20"/>
                <w:lang w:eastAsia="en-US"/>
              </w:rPr>
              <w:t>526001001</w:t>
            </w:r>
          </w:p>
          <w:p w14:paraId="7F824D2F" w14:textId="77777777" w:rsidR="00011A19" w:rsidRPr="00933E2F" w:rsidRDefault="00011A19" w:rsidP="00DA255B">
            <w:pPr>
              <w:keepNext/>
              <w:keepLines/>
              <w:tabs>
                <w:tab w:val="left" w:pos="4088"/>
              </w:tabs>
              <w:ind w:left="12"/>
              <w:rPr>
                <w:rFonts w:ascii="Arial" w:hAnsi="Arial" w:cs="Arial"/>
                <w:iCs/>
                <w:sz w:val="20"/>
                <w:szCs w:val="20"/>
                <w:lang w:eastAsia="en-US"/>
              </w:rPr>
            </w:pPr>
            <w:r w:rsidRPr="00933E2F">
              <w:rPr>
                <w:rFonts w:ascii="Arial" w:hAnsi="Arial" w:cs="Arial"/>
                <w:iCs/>
                <w:sz w:val="20"/>
                <w:szCs w:val="20"/>
                <w:u w:val="single"/>
                <w:lang w:eastAsia="en-US"/>
              </w:rPr>
              <w:t xml:space="preserve">ОГРН </w:t>
            </w:r>
            <w:r w:rsidRPr="00933E2F">
              <w:rPr>
                <w:rFonts w:ascii="Arial" w:hAnsi="Arial" w:cs="Arial"/>
                <w:iCs/>
                <w:sz w:val="20"/>
                <w:szCs w:val="20"/>
                <w:lang w:eastAsia="en-US"/>
              </w:rPr>
              <w:t>1095200000884</w:t>
            </w:r>
          </w:p>
          <w:p w14:paraId="44D8100A" w14:textId="77777777" w:rsidR="00011A19" w:rsidRPr="00933E2F" w:rsidRDefault="00011A19" w:rsidP="00DA255B">
            <w:pPr>
              <w:keepNext/>
              <w:keepLines/>
              <w:tabs>
                <w:tab w:val="left" w:pos="4088"/>
              </w:tabs>
              <w:ind w:left="12"/>
              <w:rPr>
                <w:rFonts w:ascii="Arial" w:hAnsi="Arial" w:cs="Arial"/>
                <w:iCs/>
                <w:sz w:val="20"/>
                <w:szCs w:val="20"/>
                <w:u w:val="single"/>
                <w:lang w:eastAsia="en-US"/>
              </w:rPr>
            </w:pPr>
          </w:p>
          <w:p w14:paraId="2FEC3529" w14:textId="77777777" w:rsidR="00011A19" w:rsidRPr="00933E2F" w:rsidRDefault="00011A19" w:rsidP="00DA255B">
            <w:pPr>
              <w:keepNext/>
              <w:keepLines/>
              <w:tabs>
                <w:tab w:val="left" w:pos="4088"/>
              </w:tabs>
              <w:ind w:left="12"/>
              <w:rPr>
                <w:rFonts w:ascii="Arial" w:hAnsi="Arial" w:cs="Arial"/>
                <w:iCs/>
                <w:sz w:val="20"/>
                <w:szCs w:val="20"/>
                <w:lang w:eastAsia="en-US"/>
              </w:rPr>
            </w:pPr>
            <w:r w:rsidRPr="00933E2F">
              <w:rPr>
                <w:rFonts w:ascii="Arial" w:hAnsi="Arial" w:cs="Arial"/>
                <w:iCs/>
                <w:sz w:val="20"/>
                <w:szCs w:val="20"/>
                <w:u w:val="single"/>
                <w:lang w:eastAsia="en-US"/>
              </w:rPr>
              <w:t>Юридический адрес</w:t>
            </w:r>
            <w:r w:rsidRPr="00933E2F">
              <w:rPr>
                <w:rFonts w:ascii="Arial" w:hAnsi="Arial" w:cs="Arial"/>
                <w:iCs/>
                <w:sz w:val="20"/>
                <w:szCs w:val="20"/>
                <w:lang w:eastAsia="en-US"/>
              </w:rPr>
              <w:t xml:space="preserve"> </w:t>
            </w:r>
          </w:p>
          <w:p w14:paraId="13C04475" w14:textId="77777777" w:rsidR="00011A19" w:rsidRPr="00933E2F" w:rsidRDefault="00011A19" w:rsidP="00DA255B">
            <w:pPr>
              <w:keepNext/>
              <w:keepLines/>
              <w:tabs>
                <w:tab w:val="left" w:pos="4088"/>
              </w:tabs>
              <w:ind w:left="12"/>
              <w:rPr>
                <w:rFonts w:ascii="Arial" w:hAnsi="Arial" w:cs="Arial"/>
                <w:iCs/>
                <w:sz w:val="20"/>
                <w:szCs w:val="20"/>
                <w:lang w:eastAsia="en-US"/>
              </w:rPr>
            </w:pPr>
          </w:p>
          <w:p w14:paraId="520EF8D2" w14:textId="77777777" w:rsidR="00011A19" w:rsidRPr="00933E2F" w:rsidRDefault="00011A19" w:rsidP="00DA255B">
            <w:pPr>
              <w:keepNext/>
              <w:keepLines/>
              <w:tabs>
                <w:tab w:val="left" w:pos="4088"/>
              </w:tabs>
              <w:ind w:left="12"/>
              <w:rPr>
                <w:rFonts w:ascii="Arial" w:hAnsi="Arial" w:cs="Arial"/>
                <w:iCs/>
                <w:sz w:val="20"/>
                <w:szCs w:val="20"/>
                <w:lang w:eastAsia="en-US"/>
              </w:rPr>
            </w:pPr>
            <w:r w:rsidRPr="00933E2F">
              <w:rPr>
                <w:rFonts w:ascii="Arial" w:hAnsi="Arial" w:cs="Arial"/>
                <w:iCs/>
                <w:sz w:val="20"/>
                <w:szCs w:val="20"/>
                <w:u w:val="single"/>
                <w:lang w:eastAsia="en-US"/>
              </w:rPr>
              <w:t>Фактический адрес:</w:t>
            </w:r>
          </w:p>
          <w:p w14:paraId="236C7299" w14:textId="77777777" w:rsidR="00011A19" w:rsidRPr="00933E2F" w:rsidRDefault="00011A19" w:rsidP="00DA255B">
            <w:pPr>
              <w:keepNext/>
              <w:keepLines/>
              <w:tabs>
                <w:tab w:val="left" w:pos="4088"/>
              </w:tabs>
              <w:ind w:left="12"/>
              <w:rPr>
                <w:rFonts w:ascii="Arial" w:hAnsi="Arial" w:cs="Arial"/>
                <w:sz w:val="20"/>
                <w:szCs w:val="20"/>
                <w:u w:val="single"/>
              </w:rPr>
            </w:pPr>
          </w:p>
          <w:p w14:paraId="1275170D" w14:textId="77777777" w:rsidR="00011A19" w:rsidRPr="00933E2F" w:rsidRDefault="00011A19" w:rsidP="00DA255B">
            <w:pPr>
              <w:keepNext/>
              <w:keepLines/>
              <w:tabs>
                <w:tab w:val="left" w:pos="4088"/>
              </w:tabs>
              <w:ind w:left="12"/>
              <w:rPr>
                <w:rFonts w:ascii="Arial" w:hAnsi="Arial" w:cs="Arial"/>
                <w:sz w:val="20"/>
                <w:szCs w:val="20"/>
              </w:rPr>
            </w:pPr>
            <w:r w:rsidRPr="00933E2F">
              <w:rPr>
                <w:rFonts w:ascii="Arial" w:hAnsi="Arial" w:cs="Arial"/>
                <w:sz w:val="20"/>
                <w:szCs w:val="20"/>
                <w:u w:val="single"/>
              </w:rPr>
              <w:t>Платежные реквизиты:</w:t>
            </w:r>
          </w:p>
          <w:p w14:paraId="3101FB6E" w14:textId="77777777" w:rsidR="00011A19" w:rsidRPr="00933E2F" w:rsidRDefault="00011A19" w:rsidP="00DA255B">
            <w:pPr>
              <w:keepNext/>
              <w:keepLines/>
              <w:tabs>
                <w:tab w:val="left" w:pos="4088"/>
              </w:tabs>
              <w:ind w:left="12"/>
              <w:outlineLvl w:val="0"/>
              <w:rPr>
                <w:rFonts w:ascii="Arial" w:hAnsi="Arial" w:cs="Arial"/>
                <w:sz w:val="20"/>
                <w:szCs w:val="20"/>
              </w:rPr>
            </w:pPr>
          </w:p>
          <w:p w14:paraId="34177D29" w14:textId="77777777" w:rsidR="00011A19" w:rsidRPr="00933E2F" w:rsidRDefault="00011A19" w:rsidP="00DA255B">
            <w:pPr>
              <w:keepNext/>
              <w:keepLines/>
              <w:tabs>
                <w:tab w:val="left" w:pos="4088"/>
              </w:tabs>
              <w:ind w:left="12"/>
              <w:outlineLvl w:val="0"/>
              <w:rPr>
                <w:rFonts w:ascii="Arial" w:hAnsi="Arial" w:cs="Arial"/>
                <w:sz w:val="20"/>
                <w:szCs w:val="20"/>
              </w:rPr>
            </w:pPr>
            <w:r w:rsidRPr="00933E2F">
              <w:rPr>
                <w:rFonts w:ascii="Arial" w:hAnsi="Arial" w:cs="Arial"/>
                <w:sz w:val="20"/>
                <w:szCs w:val="20"/>
                <w:u w:val="single"/>
              </w:rPr>
              <w:t>Тел./факс:</w:t>
            </w:r>
            <w:r w:rsidRPr="00933E2F">
              <w:rPr>
                <w:rFonts w:ascii="Arial" w:hAnsi="Arial" w:cs="Arial"/>
                <w:sz w:val="20"/>
                <w:szCs w:val="20"/>
              </w:rPr>
              <w:t xml:space="preserve"> </w:t>
            </w:r>
          </w:p>
          <w:p w14:paraId="04294B57" w14:textId="77777777" w:rsidR="00011A19" w:rsidRPr="00933E2F" w:rsidRDefault="00011A19" w:rsidP="00DA255B">
            <w:pPr>
              <w:keepNext/>
              <w:keepLines/>
              <w:tabs>
                <w:tab w:val="left" w:pos="4088"/>
              </w:tabs>
              <w:ind w:left="12"/>
              <w:outlineLvl w:val="0"/>
              <w:rPr>
                <w:rFonts w:ascii="Arial" w:hAnsi="Arial" w:cs="Arial"/>
                <w:b/>
                <w:sz w:val="20"/>
                <w:szCs w:val="20"/>
              </w:rPr>
            </w:pPr>
          </w:p>
          <w:p w14:paraId="3F3BF9FC" w14:textId="77777777" w:rsidR="00011A19" w:rsidRPr="00933E2F" w:rsidRDefault="00011A19" w:rsidP="00DA255B">
            <w:pPr>
              <w:keepNext/>
              <w:keepLines/>
              <w:tabs>
                <w:tab w:val="left" w:pos="4088"/>
              </w:tabs>
              <w:outlineLvl w:val="0"/>
              <w:rPr>
                <w:rFonts w:ascii="Arial" w:hAnsi="Arial" w:cs="Arial"/>
                <w:sz w:val="20"/>
                <w:szCs w:val="20"/>
              </w:rPr>
            </w:pPr>
          </w:p>
          <w:p w14:paraId="7AF206EB" w14:textId="77777777" w:rsidR="00011A19" w:rsidRPr="00933E2F" w:rsidRDefault="00011A19" w:rsidP="00DA255B">
            <w:pPr>
              <w:keepNext/>
              <w:keepLines/>
              <w:tabs>
                <w:tab w:val="left" w:pos="4088"/>
              </w:tabs>
              <w:ind w:left="12"/>
              <w:outlineLvl w:val="0"/>
              <w:rPr>
                <w:rFonts w:ascii="Arial" w:hAnsi="Arial" w:cs="Arial"/>
                <w:sz w:val="20"/>
                <w:szCs w:val="20"/>
              </w:rPr>
            </w:pPr>
            <w:r w:rsidRPr="00933E2F">
              <w:rPr>
                <w:rFonts w:ascii="Arial" w:hAnsi="Arial" w:cs="Arial"/>
                <w:sz w:val="20"/>
                <w:szCs w:val="20"/>
              </w:rPr>
              <w:t>___________________________  /________________/</w:t>
            </w:r>
          </w:p>
          <w:p w14:paraId="3200656D" w14:textId="77777777" w:rsidR="00011A19" w:rsidRPr="00933E2F" w:rsidRDefault="00011A19" w:rsidP="00DA255B">
            <w:pPr>
              <w:rPr>
                <w:rFonts w:ascii="Arial" w:hAnsi="Arial" w:cs="Arial"/>
                <w:b/>
                <w:sz w:val="20"/>
                <w:szCs w:val="20"/>
              </w:rPr>
            </w:pPr>
            <w:r w:rsidRPr="00933E2F">
              <w:rPr>
                <w:rFonts w:ascii="Arial" w:hAnsi="Arial" w:cs="Arial"/>
                <w:sz w:val="20"/>
                <w:szCs w:val="20"/>
              </w:rPr>
              <w:t xml:space="preserve">                 </w:t>
            </w:r>
            <w:proofErr w:type="spellStart"/>
            <w:r w:rsidRPr="00933E2F">
              <w:rPr>
                <w:rFonts w:ascii="Arial" w:hAnsi="Arial" w:cs="Arial"/>
                <w:sz w:val="20"/>
                <w:szCs w:val="20"/>
              </w:rPr>
              <w:t>м.п</w:t>
            </w:r>
            <w:proofErr w:type="spellEnd"/>
            <w:r w:rsidRPr="00933E2F">
              <w:rPr>
                <w:rFonts w:ascii="Arial" w:hAnsi="Arial" w:cs="Arial"/>
                <w:sz w:val="20"/>
                <w:szCs w:val="20"/>
              </w:rPr>
              <w:t>.</w:t>
            </w:r>
          </w:p>
        </w:tc>
      </w:tr>
    </w:tbl>
    <w:p w14:paraId="2E44E062" w14:textId="77777777" w:rsidR="00011A19" w:rsidRPr="00933E2F" w:rsidRDefault="00011A19" w:rsidP="00011A19">
      <w:pPr>
        <w:spacing w:after="160" w:line="256" w:lineRule="auto"/>
        <w:rPr>
          <w:rFonts w:ascii="Arial" w:eastAsia="Calibri" w:hAnsi="Arial" w:cs="Arial"/>
          <w:sz w:val="22"/>
          <w:szCs w:val="22"/>
          <w:lang w:eastAsia="en-US"/>
        </w:rPr>
      </w:pPr>
    </w:p>
    <w:p w14:paraId="741E4D24" w14:textId="2360D8F5" w:rsidR="004E47D7" w:rsidRDefault="00011A19" w:rsidP="00011A19">
      <w:r w:rsidRPr="00933E2F">
        <w:br w:type="page"/>
      </w:r>
    </w:p>
    <w:sectPr w:rsidR="004E47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A19"/>
    <w:rsid w:val="00011A19"/>
    <w:rsid w:val="004513BA"/>
    <w:rsid w:val="004E47D7"/>
    <w:rsid w:val="00DD4388"/>
    <w:rsid w:val="00E4751C"/>
    <w:rsid w:val="00F94267"/>
    <w:rsid w:val="00FD6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2ACA"/>
  <w15:chartTrackingRefBased/>
  <w15:docId w15:val="{635C911F-E5BF-4818-B0DB-6FF0FF68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1A19"/>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11A1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011A1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011A1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011A1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011A1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011A1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011A1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011A1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011A1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A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11A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11A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11A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11A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11A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1A19"/>
    <w:rPr>
      <w:rFonts w:eastAsiaTheme="majorEastAsia" w:cstheme="majorBidi"/>
      <w:color w:val="595959" w:themeColor="text1" w:themeTint="A6"/>
    </w:rPr>
  </w:style>
  <w:style w:type="character" w:customStyle="1" w:styleId="80">
    <w:name w:val="Заголовок 8 Знак"/>
    <w:basedOn w:val="a0"/>
    <w:link w:val="8"/>
    <w:uiPriority w:val="9"/>
    <w:semiHidden/>
    <w:rsid w:val="00011A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1A19"/>
    <w:rPr>
      <w:rFonts w:eastAsiaTheme="majorEastAsia" w:cstheme="majorBidi"/>
      <w:color w:val="272727" w:themeColor="text1" w:themeTint="D8"/>
    </w:rPr>
  </w:style>
  <w:style w:type="paragraph" w:styleId="a3">
    <w:name w:val="Title"/>
    <w:basedOn w:val="a"/>
    <w:next w:val="a"/>
    <w:link w:val="a4"/>
    <w:uiPriority w:val="10"/>
    <w:qFormat/>
    <w:rsid w:val="00011A1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011A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1A1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011A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1A1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011A19"/>
    <w:rPr>
      <w:i/>
      <w:iCs/>
      <w:color w:val="404040" w:themeColor="text1" w:themeTint="BF"/>
    </w:rPr>
  </w:style>
  <w:style w:type="paragraph" w:styleId="a7">
    <w:name w:val="List Paragraph"/>
    <w:basedOn w:val="a"/>
    <w:uiPriority w:val="34"/>
    <w:qFormat/>
    <w:rsid w:val="00011A1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011A19"/>
    <w:rPr>
      <w:i/>
      <w:iCs/>
      <w:color w:val="2F5496" w:themeColor="accent1" w:themeShade="BF"/>
    </w:rPr>
  </w:style>
  <w:style w:type="paragraph" w:styleId="a9">
    <w:name w:val="Intense Quote"/>
    <w:basedOn w:val="a"/>
    <w:next w:val="a"/>
    <w:link w:val="aa"/>
    <w:uiPriority w:val="30"/>
    <w:qFormat/>
    <w:rsid w:val="00011A1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011A19"/>
    <w:rPr>
      <w:i/>
      <w:iCs/>
      <w:color w:val="2F5496" w:themeColor="accent1" w:themeShade="BF"/>
    </w:rPr>
  </w:style>
  <w:style w:type="character" w:styleId="ab">
    <w:name w:val="Intense Reference"/>
    <w:basedOn w:val="a0"/>
    <w:uiPriority w:val="32"/>
    <w:qFormat/>
    <w:rsid w:val="00011A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2265</Words>
  <Characters>12911</Characters>
  <Application>Microsoft Office Word</Application>
  <DocSecurity>0</DocSecurity>
  <Lines>107</Lines>
  <Paragraphs>30</Paragraphs>
  <ScaleCrop>false</ScaleCrop>
  <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cp:revision>
  <dcterms:created xsi:type="dcterms:W3CDTF">2025-07-14T08:25:00Z</dcterms:created>
  <dcterms:modified xsi:type="dcterms:W3CDTF">2025-07-14T08:25:00Z</dcterms:modified>
</cp:coreProperties>
</file>